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r>
        <w:rPr>
          <w:rFonts w:hint="eastAsia" w:ascii="宋体" w:hAnsi="宋体" w:cs="宋体"/>
          <w:b/>
          <w:color w:val="000000"/>
          <w:kern w:val="0"/>
          <w:sz w:val="44"/>
          <w:szCs w:val="44"/>
          <w:shd w:val="clear" w:color="auto" w:fill="FFFFFF"/>
          <w:lang w:bidi="ar"/>
        </w:rPr>
        <w:t>民权县</w:t>
      </w:r>
      <w:r>
        <w:rPr>
          <w:rFonts w:hint="eastAsia" w:ascii="宋体" w:hAnsi="宋体" w:cs="宋体"/>
          <w:b/>
          <w:color w:val="000000"/>
          <w:kern w:val="0"/>
          <w:sz w:val="44"/>
          <w:szCs w:val="44"/>
          <w:shd w:val="clear" w:color="auto" w:fill="FFFFFF"/>
          <w:lang w:val="en-US" w:eastAsia="zh-CN" w:bidi="ar"/>
        </w:rPr>
        <w:t>人民法院</w:t>
      </w:r>
      <w:r>
        <w:rPr>
          <w:rFonts w:hint="eastAsia" w:ascii="宋体" w:hAnsi="宋体" w:cs="宋体"/>
          <w:b/>
          <w:color w:val="000000"/>
          <w:kern w:val="0"/>
          <w:sz w:val="44"/>
          <w:szCs w:val="44"/>
          <w:shd w:val="clear" w:color="auto" w:fill="FFFFFF"/>
          <w:lang w:bidi="ar"/>
        </w:rPr>
        <w:t>2019年预算公开</w:t>
      </w:r>
    </w:p>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r>
        <w:rPr>
          <w:rFonts w:hint="eastAsia" w:ascii="宋体" w:hAnsi="宋体" w:cs="宋体"/>
          <w:b/>
          <w:color w:val="000000"/>
          <w:kern w:val="0"/>
          <w:sz w:val="44"/>
          <w:szCs w:val="44"/>
          <w:shd w:val="clear" w:color="auto" w:fill="FFFFFF"/>
          <w:lang w:bidi="ar"/>
        </w:rPr>
        <w:t>情况说明</w:t>
      </w:r>
    </w:p>
    <w:p>
      <w:pPr>
        <w:widowControl/>
        <w:shd w:val="clear" w:color="auto" w:fill="FFFFFF"/>
        <w:spacing w:line="390" w:lineRule="atLeast"/>
        <w:ind w:firstLine="300"/>
        <w:jc w:val="center"/>
        <w:rPr>
          <w:rFonts w:hint="eastAsia" w:ascii="文星楷体" w:hAnsi="文星楷体" w:eastAsia="文星楷体" w:cs="文星楷体"/>
          <w:sz w:val="44"/>
          <w:szCs w:val="44"/>
        </w:rPr>
      </w:pPr>
    </w:p>
    <w:p>
      <w:pPr>
        <w:widowControl/>
        <w:shd w:val="clear" w:color="auto" w:fill="FFFFFF"/>
        <w:spacing w:line="390" w:lineRule="atLeast"/>
        <w:ind w:firstLine="300"/>
        <w:jc w:val="center"/>
        <w:rPr>
          <w:rFonts w:hint="eastAsia" w:ascii="文星楷体" w:hAnsi="文星楷体" w:eastAsia="文星楷体" w:cs="文星楷体"/>
          <w:sz w:val="44"/>
          <w:szCs w:val="44"/>
        </w:rPr>
      </w:pPr>
      <w:r>
        <w:rPr>
          <w:rFonts w:hint="eastAsia" w:ascii="文星楷体" w:hAnsi="文星楷体" w:eastAsia="文星楷体" w:cs="文星楷体"/>
          <w:sz w:val="44"/>
          <w:szCs w:val="44"/>
        </w:rPr>
        <w:t>目  录</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一、部门主要职能</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二、部门预算单位机构设置情况</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三、部门预算收支情况说明</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四、名词解释</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附件：2019年度部门预算公开表</w:t>
      </w:r>
    </w:p>
    <w:p>
      <w:pPr>
        <w:widowControl/>
        <w:shd w:val="clear" w:color="auto" w:fill="FFFFFF"/>
        <w:spacing w:line="390" w:lineRule="atLeast"/>
        <w:ind w:firstLine="1440" w:firstLineChars="4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、部门收支总表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、部门收入总表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、部门支出总表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、财政拨款收支总表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、一般公共预算支出情况表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、一般公共预算基本支出情况表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、政府性基金预算支出情况表</w:t>
      </w:r>
    </w:p>
    <w:p>
      <w:pPr>
        <w:widowControl/>
        <w:shd w:val="clear" w:color="auto" w:fill="FFFFFF"/>
        <w:spacing w:line="390" w:lineRule="atLeast"/>
        <w:jc w:val="left"/>
        <w:rPr>
          <w:rFonts w:hint="eastAsia" w:ascii="宋体" w:hAnsi="宋体" w:cs="Arial"/>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、一般公共预算“三公”经费支出情况表</w:t>
      </w: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numPr>
          <w:ilvl w:val="0"/>
          <w:numId w:val="1"/>
        </w:numPr>
        <w:shd w:val="clear" w:color="auto" w:fill="FFFFFF"/>
        <w:spacing w:line="390" w:lineRule="atLeast"/>
        <w:ind w:firstLine="645"/>
        <w:jc w:val="left"/>
        <w:rPr>
          <w:rFonts w:hint="eastAsia" w:ascii="黑体" w:hAnsi="黑体" w:eastAsia="黑体" w:cs="黑体"/>
          <w:sz w:val="32"/>
          <w:szCs w:val="32"/>
        </w:rPr>
      </w:pPr>
      <w:r>
        <w:rPr>
          <w:rFonts w:hint="eastAsia" w:ascii="黑体" w:hAnsi="黑体" w:eastAsia="黑体" w:cs="黑体"/>
          <w:sz w:val="32"/>
          <w:szCs w:val="32"/>
        </w:rPr>
        <w:t>部门主要职责</w:t>
      </w:r>
    </w:p>
    <w:p>
      <w:pPr>
        <w:widowControl/>
        <w:shd w:val="clear" w:color="auto" w:fill="FFFFFF"/>
        <w:spacing w:line="390" w:lineRule="atLeast"/>
        <w:ind w:left="10" w:leftChars="0" w:firstLine="617" w:firstLineChars="193"/>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审判法律规定由基层法院管辖的刑事、民事、行政案件。</w:t>
      </w:r>
    </w:p>
    <w:p>
      <w:pPr>
        <w:pStyle w:val="2"/>
        <w:shd w:val="clear" w:color="auto" w:fill="FFFFFF"/>
        <w:spacing w:before="0" w:beforeAutospacing="0" w:after="0" w:afterAutospacing="0" w:line="600" w:lineRule="exact"/>
        <w:ind w:left="10" w:leftChars="0" w:firstLine="617" w:firstLineChars="19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kern w:val="2"/>
          <w:sz w:val="32"/>
          <w:szCs w:val="32"/>
          <w:lang w:val="en-US" w:eastAsia="zh-CN" w:bidi="ar-SA"/>
        </w:rPr>
        <w:t>依照审判监督程序，审理告诉申诉的刑事、民事、行政案件。</w:t>
      </w:r>
    </w:p>
    <w:p>
      <w:pPr>
        <w:pStyle w:val="2"/>
        <w:shd w:val="clear" w:color="auto" w:fill="FFFFFF"/>
        <w:spacing w:before="0" w:beforeAutospacing="0" w:after="0" w:afterAutospacing="0" w:line="600" w:lineRule="exact"/>
        <w:ind w:left="10" w:leftChars="0" w:firstLine="617" w:firstLineChars="19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kern w:val="2"/>
          <w:sz w:val="32"/>
          <w:szCs w:val="32"/>
          <w:lang w:val="en-US" w:eastAsia="zh-CN" w:bidi="ar-SA"/>
        </w:rPr>
        <w:t>依法行使司法执行权和司法决定权，执行本院已经发生法律效力的判决、裁定以及国家行政机关申请执行的案件和外地法院委托执行的案件。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黑体" w:hAnsi="宋体" w:eastAsia="黑体" w:cs="黑体"/>
          <w:b w:val="0"/>
          <w:bCs/>
          <w:i w:val="0"/>
          <w:caps w:val="0"/>
          <w:color w:val="000000"/>
          <w:spacing w:val="0"/>
          <w:kern w:val="0"/>
          <w:sz w:val="32"/>
          <w:szCs w:val="32"/>
          <w:shd w:val="clear" w:color="auto" w:fill="FFFFFF"/>
          <w:lang w:val="en-US" w:eastAsia="zh-CN" w:bidi="ar"/>
        </w:rPr>
      </w:pPr>
      <w:r>
        <w:rPr>
          <w:rFonts w:hint="eastAsia" w:ascii="黑体" w:hAnsi="宋体" w:eastAsia="黑体" w:cs="黑体"/>
          <w:b w:val="0"/>
          <w:bCs/>
          <w:i w:val="0"/>
          <w:caps w:val="0"/>
          <w:color w:val="000000"/>
          <w:spacing w:val="0"/>
          <w:kern w:val="0"/>
          <w:sz w:val="32"/>
          <w:szCs w:val="32"/>
          <w:shd w:val="clear" w:color="auto" w:fill="FFFFFF"/>
          <w:lang w:val="en-US" w:eastAsia="zh-CN" w:bidi="ar"/>
        </w:rPr>
        <w:t>二、部门预算单位机构设置情况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根据编委核定,我单位内设科室10个，为立案庭（诉讼服务中心）、刑事审判庭、民事审判一庭、民事审判二庭、行政审判庭（综合审判庭）、执行局、政治部、综合办公室（督查室）、审判管理办公室（研究室）、司法警察大队。</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sz w:val="32"/>
          <w:szCs w:val="32"/>
        </w:rPr>
        <w:t>我单位2019年预算公开内容</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本级预算。</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bCs/>
          <w:i w:val="0"/>
          <w:caps w:val="0"/>
          <w:color w:val="000000"/>
          <w:spacing w:val="0"/>
          <w:sz w:val="21"/>
          <w:szCs w:val="21"/>
        </w:rPr>
      </w:pPr>
      <w:r>
        <w:rPr>
          <w:rFonts w:hint="eastAsia" w:ascii="黑体" w:hAnsi="宋体" w:eastAsia="黑体" w:cs="黑体"/>
          <w:b w:val="0"/>
          <w:bCs/>
          <w:i w:val="0"/>
          <w:caps w:val="0"/>
          <w:color w:val="000000"/>
          <w:spacing w:val="0"/>
          <w:kern w:val="0"/>
          <w:sz w:val="32"/>
          <w:szCs w:val="32"/>
          <w:shd w:val="clear" w:color="auto" w:fill="FFFFFF"/>
          <w:lang w:val="en-US" w:eastAsia="zh-CN" w:bidi="ar"/>
        </w:rPr>
        <w:t>三、部门预算收支情况说明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bCs/>
          <w:i w:val="0"/>
          <w:caps w:val="0"/>
          <w:color w:val="000000"/>
          <w:spacing w:val="0"/>
          <w:sz w:val="21"/>
          <w:szCs w:val="21"/>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1、2019年预算收入、支出比2018年增减情况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收入3137.94万元，2018年收入2716.09万元。与2018年相比增加421.85万元。增加的原因主要是审理案件的增加导致办案经费需求增加。2019年支出3137.94万元，2018年支出2716.09万元。与2018年相比单位支出总体增加421.85万元。增加的原因主要是2019年我院将招录几十名劳务派遣人员，导致工资支出增加；近年来，为了加强信息化建设完成上级要求，我院加大了对相关设备、装备、系统软件的资金投入。</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2、机关运行经费情况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2019年度机关运行经费财政拨款预算44.84万元，较2018年预算减少0.64万元。减少的原因主要是严格把控相关支出，减少不必要的开支。</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3、政府采购执行情况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2019年我单位政府采购预算总额0万元。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4、“三公经费”预算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度“三公经费”预算114万元，与2018年预算增加22万元。增加的原因主要是2019年与2018年相比，需购入两辆执法执勤用车。其中因公出国（境）费用0万元，较上年预算增加0万元；公务接待费4万元，较上年预算增加0万元；公务用车运行维护费60万元，较上年预算增加0万元；公务用车购置费50万元，较上年预算增加22万元,增加的原因主要是申请购置执法执勤车辆2辆。</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bCs/>
          <w:i w:val="0"/>
          <w:caps w:val="0"/>
          <w:color w:val="000000"/>
          <w:spacing w:val="0"/>
          <w:sz w:val="21"/>
          <w:szCs w:val="21"/>
          <w:highlight w:val="none"/>
        </w:rPr>
      </w:pPr>
      <w:r>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t>5、绩效管理情况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highlight w:val="none"/>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2019年度本部门设定绩效目标管理的项目共0个，共0万元。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t>6、国有资产占用情况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2018年期末，我单位共有车辆16辆，其中：一般公务用车0辆，</w:t>
      </w:r>
      <w:r>
        <w:rPr>
          <w:rFonts w:hint="eastAsia" w:ascii="仿宋_GB2312" w:hAnsi="仿宋_GB2312" w:eastAsia="仿宋_GB2312" w:cs="仿宋_GB2312"/>
          <w:color w:val="auto"/>
          <w:sz w:val="32"/>
          <w:szCs w:val="32"/>
          <w:highlight w:val="none"/>
          <w:lang w:val="en-US" w:eastAsia="zh-CN"/>
        </w:rPr>
        <w:t>一般执法执勤用车16辆</w:t>
      </w: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；单价50万元以上通用设备15台，单位价值100万元以上专用设备0台。</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黑体" w:hAnsi="黑体" w:eastAsia="黑体" w:cs="黑体"/>
          <w:b w:val="0"/>
          <w:i w:val="0"/>
          <w:caps w:val="0"/>
          <w:color w:val="000000"/>
          <w:spacing w:val="0"/>
          <w:kern w:val="0"/>
          <w:sz w:val="32"/>
          <w:szCs w:val="32"/>
          <w:highlight w:val="none"/>
          <w:shd w:val="clear" w:color="auto" w:fill="FFFFFF"/>
          <w:lang w:val="en-US" w:eastAsia="zh-CN" w:bidi="ar"/>
        </w:rPr>
      </w:pPr>
      <w:r>
        <w:rPr>
          <w:rFonts w:hint="eastAsia" w:ascii="黑体" w:hAnsi="黑体" w:eastAsia="黑体" w:cs="黑体"/>
          <w:b w:val="0"/>
          <w:i w:val="0"/>
          <w:caps w:val="0"/>
          <w:color w:val="000000"/>
          <w:spacing w:val="0"/>
          <w:kern w:val="0"/>
          <w:sz w:val="32"/>
          <w:szCs w:val="32"/>
          <w:highlight w:val="none"/>
          <w:shd w:val="clear" w:color="auto" w:fill="FFFFFF"/>
          <w:lang w:val="en-US" w:eastAsia="zh-CN" w:bidi="ar"/>
        </w:rPr>
        <w:t>四、名词解释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（一）基本支出：指为保障机构正常运转、完成日常工作任务而发生的人员支出和公用支出。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（二）项目支出：指在基本支出之外为完成特定行政任务和事业发展目标所发生的支出。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三）机关运行经费：指各部门的公用经费，包括办公及印刷费、邮电费、差旅费、会议费、福利费、日常维修费、专用材料及一般设备购置费、办公用房水电费、办公用房取暖费、办公用房物业管理费、公务用车运行维护费以及其他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四）“三公”经费：指县直部门用一般公共预算安排的因公出国（境）费、公务用车购置及运行费和公务接待费。其中，因公出国（境）费反映单位公务出国（境）的国际差旅费、国外城市间交通费、住宿费、伙食费、培训费、公杂费等支出；公务用车购置费反映公务用车车辆购置支出（含车辆购置税）；公务用车运行维护费反映单位按规定保留的公务用车燃料费、维修费、过路过桥费、保险费等支出；公务接待费反映单位按规定开支的各类公务接待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星楷体">
    <w:panose1 w:val="0201060900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BF7C16"/>
    <w:multiLevelType w:val="singleLevel"/>
    <w:tmpl w:val="E3BF7C1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5A8"/>
    <w:rsid w:val="005C35A8"/>
    <w:rsid w:val="00606E68"/>
    <w:rsid w:val="00654D04"/>
    <w:rsid w:val="00806B9B"/>
    <w:rsid w:val="009E0B3B"/>
    <w:rsid w:val="00D611A3"/>
    <w:rsid w:val="00EC63A8"/>
    <w:rsid w:val="028050F1"/>
    <w:rsid w:val="03E2743C"/>
    <w:rsid w:val="0407491B"/>
    <w:rsid w:val="06EC1A2B"/>
    <w:rsid w:val="0D6424BD"/>
    <w:rsid w:val="0E621B60"/>
    <w:rsid w:val="149412B9"/>
    <w:rsid w:val="14EF40DE"/>
    <w:rsid w:val="16F51DCF"/>
    <w:rsid w:val="27F21D3D"/>
    <w:rsid w:val="2B2217DA"/>
    <w:rsid w:val="2C653F4B"/>
    <w:rsid w:val="2CB95A47"/>
    <w:rsid w:val="2D236E09"/>
    <w:rsid w:val="2F3D3B20"/>
    <w:rsid w:val="3135078F"/>
    <w:rsid w:val="324D3FBD"/>
    <w:rsid w:val="340F088F"/>
    <w:rsid w:val="3D9944BB"/>
    <w:rsid w:val="3E1A6360"/>
    <w:rsid w:val="400E4F4C"/>
    <w:rsid w:val="4C522232"/>
    <w:rsid w:val="4F8F2329"/>
    <w:rsid w:val="538E2C6F"/>
    <w:rsid w:val="56E47DEE"/>
    <w:rsid w:val="57E00BF1"/>
    <w:rsid w:val="5D586044"/>
    <w:rsid w:val="5E611CF4"/>
    <w:rsid w:val="63A36064"/>
    <w:rsid w:val="64683F0D"/>
    <w:rsid w:val="65FB437D"/>
    <w:rsid w:val="68BA0196"/>
    <w:rsid w:val="6C5A3368"/>
    <w:rsid w:val="7048463E"/>
    <w:rsid w:val="70D12887"/>
    <w:rsid w:val="71EC4A2F"/>
    <w:rsid w:val="742732BA"/>
    <w:rsid w:val="75B11A7C"/>
    <w:rsid w:val="7681294E"/>
    <w:rsid w:val="77F8469F"/>
    <w:rsid w:val="7BCE256C"/>
    <w:rsid w:val="7BED7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Pages>
  <Words>193</Words>
  <Characters>1106</Characters>
  <Lines>9</Lines>
  <Paragraphs>2</Paragraphs>
  <TotalTime>0</TotalTime>
  <ScaleCrop>false</ScaleCrop>
  <LinksUpToDate>false</LinksUpToDate>
  <CharactersWithSpaces>1297</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2019-08-06T09:29:00Z</dcterms:created>
  <dc:creator>xbany</dc:creator>
  <cp:lastModifiedBy>Administrator</cp:lastModifiedBy>
  <dcterms:modified xsi:type="dcterms:W3CDTF">2021-06-09T02:15:34Z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