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90" w:lineRule="atLeast"/>
        <w:ind w:firstLine="300"/>
        <w:jc w:val="center"/>
        <w:rPr>
          <w:rFonts w:hint="eastAsia" w:ascii="宋体" w:hAnsi="宋体" w:cs="宋体"/>
          <w:b/>
          <w:color w:val="000000"/>
          <w:kern w:val="0"/>
          <w:sz w:val="44"/>
          <w:szCs w:val="44"/>
          <w:shd w:val="clear" w:color="auto" w:fill="FFFFFF"/>
          <w:lang w:bidi="ar"/>
        </w:rPr>
      </w:pPr>
      <w:r>
        <w:rPr>
          <w:rFonts w:hint="eastAsia" w:ascii="宋体" w:hAnsi="宋体" w:cs="宋体"/>
          <w:b/>
          <w:color w:val="000000"/>
          <w:kern w:val="0"/>
          <w:sz w:val="44"/>
          <w:szCs w:val="44"/>
          <w:shd w:val="clear" w:color="auto" w:fill="FFFFFF"/>
          <w:lang w:bidi="ar"/>
        </w:rPr>
        <w:t>民权县</w:t>
      </w:r>
      <w:r>
        <w:rPr>
          <w:rFonts w:hint="eastAsia" w:ascii="宋体" w:hAnsi="宋体" w:cs="宋体"/>
          <w:b/>
          <w:color w:val="000000"/>
          <w:kern w:val="0"/>
          <w:sz w:val="44"/>
          <w:szCs w:val="44"/>
          <w:shd w:val="clear" w:color="auto" w:fill="FFFFFF"/>
          <w:lang w:eastAsia="zh-CN" w:bidi="ar"/>
        </w:rPr>
        <w:t>群工部</w:t>
      </w:r>
      <w:r>
        <w:rPr>
          <w:rFonts w:hint="eastAsia" w:ascii="宋体" w:hAnsi="宋体" w:cs="宋体"/>
          <w:b/>
          <w:color w:val="000000"/>
          <w:kern w:val="0"/>
          <w:sz w:val="44"/>
          <w:szCs w:val="44"/>
          <w:shd w:val="clear" w:color="auto" w:fill="FFFFFF"/>
          <w:lang w:bidi="ar"/>
        </w:rPr>
        <w:t>2019年预算公开</w:t>
      </w:r>
    </w:p>
    <w:p>
      <w:pPr>
        <w:widowControl/>
        <w:shd w:val="clear" w:color="auto" w:fill="FFFFFF"/>
        <w:spacing w:line="390" w:lineRule="atLeast"/>
        <w:ind w:firstLine="300"/>
        <w:jc w:val="center"/>
        <w:rPr>
          <w:rFonts w:hint="eastAsia" w:ascii="宋体" w:hAnsi="宋体" w:cs="宋体"/>
          <w:b/>
          <w:color w:val="000000"/>
          <w:kern w:val="0"/>
          <w:sz w:val="44"/>
          <w:szCs w:val="44"/>
          <w:shd w:val="clear" w:color="auto" w:fill="FFFFFF"/>
          <w:lang w:bidi="ar"/>
        </w:rPr>
      </w:pPr>
      <w:r>
        <w:rPr>
          <w:rFonts w:hint="eastAsia" w:ascii="宋体" w:hAnsi="宋体" w:cs="宋体"/>
          <w:b/>
          <w:color w:val="000000"/>
          <w:kern w:val="0"/>
          <w:sz w:val="44"/>
          <w:szCs w:val="44"/>
          <w:shd w:val="clear" w:color="auto" w:fill="FFFFFF"/>
          <w:lang w:bidi="ar"/>
        </w:rPr>
        <w:t>情况说明</w:t>
      </w:r>
    </w:p>
    <w:p>
      <w:pPr>
        <w:widowControl/>
        <w:shd w:val="clear" w:color="auto" w:fill="FFFFFF"/>
        <w:spacing w:line="390" w:lineRule="atLeast"/>
        <w:ind w:firstLine="300"/>
        <w:jc w:val="center"/>
        <w:rPr>
          <w:rFonts w:hint="eastAsia" w:ascii="宋体" w:hAnsi="宋体" w:cs="宋体"/>
          <w:b/>
          <w:color w:val="000000"/>
          <w:kern w:val="0"/>
          <w:sz w:val="44"/>
          <w:szCs w:val="44"/>
          <w:shd w:val="clear" w:color="auto" w:fill="FFFFFF"/>
          <w:lang w:bidi="ar"/>
        </w:rPr>
      </w:pPr>
    </w:p>
    <w:p>
      <w:pPr>
        <w:widowControl/>
        <w:shd w:val="clear" w:color="auto" w:fill="FFFFFF"/>
        <w:spacing w:line="390" w:lineRule="atLeast"/>
        <w:ind w:firstLine="300"/>
        <w:jc w:val="center"/>
        <w:rPr>
          <w:rFonts w:hint="eastAsia" w:ascii="宋体" w:hAnsi="宋体" w:cs="Arial"/>
          <w:sz w:val="44"/>
          <w:szCs w:val="44"/>
        </w:rPr>
      </w:pPr>
      <w:r>
        <w:rPr>
          <w:rFonts w:hint="eastAsia" w:ascii="文星楷体" w:hAnsi="文星楷体" w:eastAsia="文星楷体" w:cs="文星楷体"/>
          <w:sz w:val="44"/>
          <w:szCs w:val="44"/>
        </w:rPr>
        <w:t>目  录</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一、部门主要职能</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二、部门预算单位机构设置情况</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三、部门预算收支情况说明</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四、名词解释</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附件：2019年度部门预算公开表</w:t>
      </w:r>
    </w:p>
    <w:p>
      <w:pPr>
        <w:widowControl/>
        <w:shd w:val="clear" w:color="auto" w:fill="FFFFFF"/>
        <w:spacing w:line="390" w:lineRule="atLeast"/>
        <w:ind w:firstLine="1440" w:firstLineChars="45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、部门收支总表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、部门收入总表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、部门支出总表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、财政拨款收支总表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、一般公共预算支出情况表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、一般公共预算基本支出情况表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、政府性基金预算支出情况表</w:t>
      </w:r>
    </w:p>
    <w:p>
      <w:pPr>
        <w:widowControl/>
        <w:shd w:val="clear" w:color="auto" w:fill="FFFFFF"/>
        <w:spacing w:line="390" w:lineRule="atLeast"/>
        <w:jc w:val="left"/>
        <w:rPr>
          <w:rFonts w:hint="eastAsia" w:ascii="宋体" w:hAnsi="宋体" w:cs="Arial"/>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、一般公共预算“三公”经费支出情况表</w:t>
      </w:r>
    </w:p>
    <w:p>
      <w:pPr>
        <w:widowControl/>
        <w:shd w:val="clear" w:color="auto" w:fill="FFFFFF"/>
        <w:spacing w:line="390" w:lineRule="atLeast"/>
        <w:jc w:val="left"/>
        <w:rPr>
          <w:rFonts w:hint="eastAsia" w:ascii="宋体" w:hAnsi="宋体" w:cs="Arial"/>
          <w:sz w:val="32"/>
          <w:szCs w:val="32"/>
        </w:rPr>
      </w:pPr>
    </w:p>
    <w:p>
      <w:pPr>
        <w:widowControl/>
        <w:shd w:val="clear" w:color="auto" w:fill="FFFFFF"/>
        <w:spacing w:line="390" w:lineRule="atLeast"/>
        <w:ind w:firstLine="300"/>
        <w:jc w:val="left"/>
        <w:rPr>
          <w:rFonts w:hint="eastAsia" w:ascii="宋体" w:hAnsi="宋体" w:cs="Arial"/>
          <w:sz w:val="32"/>
          <w:szCs w:val="32"/>
        </w:rPr>
      </w:pPr>
    </w:p>
    <w:p>
      <w:pPr>
        <w:widowControl/>
        <w:shd w:val="clear" w:color="auto" w:fill="FFFFFF"/>
        <w:spacing w:line="390" w:lineRule="atLeast"/>
        <w:ind w:firstLine="300"/>
        <w:jc w:val="left"/>
        <w:rPr>
          <w:rFonts w:hint="eastAsia" w:ascii="宋体" w:hAnsi="宋体" w:cs="Arial"/>
          <w:sz w:val="32"/>
          <w:szCs w:val="32"/>
        </w:rPr>
      </w:pPr>
    </w:p>
    <w:p>
      <w:pPr>
        <w:widowControl/>
        <w:shd w:val="clear" w:color="auto" w:fill="FFFFFF"/>
        <w:spacing w:line="390" w:lineRule="atLeast"/>
        <w:ind w:firstLine="300"/>
        <w:jc w:val="left"/>
        <w:rPr>
          <w:rFonts w:hint="eastAsia" w:ascii="宋体" w:hAnsi="宋体" w:cs="Arial"/>
          <w:sz w:val="32"/>
          <w:szCs w:val="32"/>
        </w:rPr>
      </w:pPr>
    </w:p>
    <w:p>
      <w:pPr>
        <w:widowControl/>
        <w:shd w:val="clear" w:color="auto" w:fill="FFFFFF"/>
        <w:spacing w:line="390" w:lineRule="atLeast"/>
        <w:ind w:firstLine="300"/>
        <w:jc w:val="left"/>
        <w:rPr>
          <w:rFonts w:hint="eastAsia" w:ascii="宋体" w:hAnsi="宋体" w:cs="Arial"/>
          <w:sz w:val="32"/>
          <w:szCs w:val="32"/>
        </w:rPr>
      </w:pPr>
    </w:p>
    <w:p>
      <w:pPr>
        <w:widowControl/>
        <w:numPr>
          <w:ilvl w:val="0"/>
          <w:numId w:val="1"/>
        </w:numPr>
        <w:shd w:val="clear" w:color="auto" w:fill="FFFFFF"/>
        <w:spacing w:line="390" w:lineRule="atLeast"/>
        <w:ind w:firstLine="645"/>
        <w:jc w:val="left"/>
        <w:rPr>
          <w:rFonts w:hint="eastAsia" w:ascii="黑体" w:hAnsi="黑体" w:eastAsia="黑体" w:cs="黑体"/>
          <w:sz w:val="32"/>
          <w:szCs w:val="32"/>
        </w:rPr>
      </w:pPr>
      <w:r>
        <w:rPr>
          <w:rFonts w:hint="eastAsia" w:ascii="黑体" w:hAnsi="黑体" w:eastAsia="黑体" w:cs="黑体"/>
          <w:sz w:val="32"/>
          <w:szCs w:val="32"/>
        </w:rPr>
        <w:t>部门主要职责</w:t>
      </w:r>
    </w:p>
    <w:p>
      <w:pPr>
        <w:widowControl/>
        <w:shd w:val="clear" w:color="auto" w:fill="FFFFFF"/>
        <w:spacing w:line="390" w:lineRule="atLeast"/>
        <w:ind w:left="0" w:leftChars="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协调指导全</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信访工作，起草有关信访工作的政策和规范性文件，推动中央和省委、省政府、市委、市政府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县委、县政府</w:t>
      </w:r>
      <w:r>
        <w:rPr>
          <w:rFonts w:hint="eastAsia" w:ascii="仿宋_GB2312" w:hAnsi="仿宋_GB2312" w:eastAsia="仿宋_GB2312" w:cs="仿宋_GB2312"/>
          <w:sz w:val="32"/>
          <w:szCs w:val="32"/>
        </w:rPr>
        <w:t>关于信访工作决策部署的贯彻落实。</w:t>
      </w:r>
    </w:p>
    <w:p>
      <w:pPr>
        <w:widowControl/>
        <w:shd w:val="clear" w:color="auto" w:fill="FFFFFF"/>
        <w:spacing w:line="390" w:lineRule="atLeast"/>
        <w:ind w:left="0" w:leftChars="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受理人民群众给</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委、</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政府及领导同志的来信来电，接待来访，为来信来电来访群众提供有关法律、法规和政策咨询服务。</w:t>
      </w:r>
    </w:p>
    <w:p>
      <w:pPr>
        <w:widowControl/>
        <w:shd w:val="clear" w:color="auto" w:fill="FFFFFF"/>
        <w:spacing w:line="390" w:lineRule="atLeast"/>
        <w:ind w:left="0" w:leftChars="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负责向</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委、</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政府反映来信来电来访中提出的重要建议、意见和问题，综合研判信访信息，分析信访形势，开展调查研究，提出制定修改完善有关政策和法律法规的建议。</w:t>
      </w:r>
    </w:p>
    <w:p>
      <w:pPr>
        <w:widowControl/>
        <w:shd w:val="clear" w:color="auto" w:fill="FFFFFF"/>
        <w:spacing w:line="390" w:lineRule="atLeast"/>
        <w:ind w:left="0" w:leftChars="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承办党中央、国务院和省委、省政府、</w:t>
      </w:r>
      <w:r>
        <w:rPr>
          <w:rFonts w:hint="eastAsia" w:ascii="仿宋_GB2312" w:hAnsi="仿宋_GB2312" w:eastAsia="仿宋_GB2312" w:cs="仿宋_GB2312"/>
          <w:sz w:val="32"/>
          <w:szCs w:val="32"/>
          <w:lang w:val="en-US" w:eastAsia="zh-CN"/>
        </w:rPr>
        <w:t>市委、市政府、市</w:t>
      </w:r>
      <w:r>
        <w:rPr>
          <w:rFonts w:hint="eastAsia" w:ascii="仿宋_GB2312" w:hAnsi="仿宋_GB2312" w:eastAsia="仿宋_GB2312" w:cs="仿宋_GB2312"/>
          <w:sz w:val="32"/>
          <w:szCs w:val="32"/>
        </w:rPr>
        <w:t>直各部门向</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委、</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政府交办的信访事项和</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委、</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政府及领导同志交办的重要信访事项，向有关部门转办、交办信访事项，督促检查重要信访事项的处理和落实。</w:t>
      </w:r>
    </w:p>
    <w:p>
      <w:pPr>
        <w:widowControl/>
        <w:shd w:val="clear" w:color="auto" w:fill="FFFFFF"/>
        <w:spacing w:line="390" w:lineRule="atLeast"/>
        <w:ind w:left="0" w:leftChars="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协调处理跨地区跨行业跨部门的信访突出问题和突发信访事件；对重要信访事项实施个案监督，并提出对有关责任单位和责任人的处理意见和建议。</w:t>
      </w:r>
    </w:p>
    <w:p>
      <w:pPr>
        <w:widowControl/>
        <w:shd w:val="clear" w:color="auto" w:fill="FFFFFF"/>
        <w:spacing w:line="390" w:lineRule="atLeast"/>
        <w:ind w:left="0" w:leftChars="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负责征集、处理人民群众对本</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政治、经济、文化、社会和生态文明等各项建设事业发展的重要建议；总结推广信访工作经验，提出改进和加强信访工作的意见、建议；负责信访工作的宣传和信息发布；组织协调、指导、推动全</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信访系统信息化建设。</w:t>
      </w:r>
    </w:p>
    <w:p>
      <w:pPr>
        <w:widowControl/>
        <w:shd w:val="clear" w:color="auto" w:fill="FFFFFF"/>
        <w:spacing w:line="390" w:lineRule="atLeast"/>
        <w:ind w:left="0" w:leftChars="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承担</w:t>
      </w:r>
      <w:r>
        <w:rPr>
          <w:rFonts w:hint="eastAsia" w:ascii="仿宋_GB2312" w:hAnsi="仿宋_GB2312" w:eastAsia="仿宋_GB2312" w:cs="仿宋_GB2312"/>
          <w:sz w:val="32"/>
          <w:szCs w:val="32"/>
          <w:lang w:val="en-US" w:eastAsia="zh-CN"/>
        </w:rPr>
        <w:t>民权县</w:t>
      </w:r>
      <w:r>
        <w:rPr>
          <w:rFonts w:hint="eastAsia" w:ascii="仿宋_GB2312" w:hAnsi="仿宋_GB2312" w:eastAsia="仿宋_GB2312" w:cs="仿宋_GB2312"/>
          <w:sz w:val="32"/>
          <w:szCs w:val="32"/>
        </w:rPr>
        <w:t>人民政府信访事项复查复核委员会的具体工作，负责</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政府受理的信访事项复查、复核工作。</w:t>
      </w:r>
    </w:p>
    <w:p>
      <w:pPr>
        <w:widowControl/>
        <w:shd w:val="clear" w:color="auto" w:fill="FFFFFF"/>
        <w:spacing w:line="390" w:lineRule="atLeast"/>
        <w:ind w:left="0" w:leftChars="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承担</w:t>
      </w:r>
      <w:r>
        <w:rPr>
          <w:rFonts w:hint="eastAsia" w:ascii="仿宋_GB2312" w:hAnsi="仿宋_GB2312" w:eastAsia="仿宋_GB2312" w:cs="仿宋_GB2312"/>
          <w:sz w:val="32"/>
          <w:szCs w:val="32"/>
          <w:lang w:val="en-US" w:eastAsia="zh-CN"/>
        </w:rPr>
        <w:t>民权县</w:t>
      </w:r>
      <w:r>
        <w:rPr>
          <w:rFonts w:hint="eastAsia" w:ascii="仿宋_GB2312" w:hAnsi="仿宋_GB2312" w:eastAsia="仿宋_GB2312" w:cs="仿宋_GB2312"/>
          <w:sz w:val="32"/>
          <w:szCs w:val="32"/>
        </w:rPr>
        <w:t>信访工作联席会议的日常工作，督促落实联席会议决定的事项。</w:t>
      </w:r>
    </w:p>
    <w:p>
      <w:pPr>
        <w:widowControl/>
        <w:shd w:val="clear" w:color="auto" w:fill="FFFFFF"/>
        <w:spacing w:line="390" w:lineRule="atLeast"/>
        <w:ind w:left="0" w:leftChars="0" w:firstLine="640" w:firstLineChars="200"/>
        <w:jc w:val="left"/>
        <w:rPr>
          <w:rFonts w:hint="eastAsia" w:ascii="仿宋_GB2312" w:eastAsia="仿宋_GB2312" w:cs="仿宋_GB2312"/>
          <w:sz w:val="32"/>
          <w:szCs w:val="32"/>
          <w:lang w:eastAsia="zh-CN"/>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完成</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委、</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政府交办的其他任务</w:t>
      </w:r>
      <w:r>
        <w:rPr>
          <w:rFonts w:hint="eastAsia" w:ascii="仿宋_GB2312" w:hAnsi="仿宋_GB2312" w:eastAsia="仿宋_GB2312" w:cs="仿宋_GB2312"/>
          <w:sz w:val="32"/>
          <w:szCs w:val="32"/>
          <w:lang w:eastAsia="zh-CN"/>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黑体" w:hAnsi="宋体" w:eastAsia="黑体" w:cs="黑体"/>
          <w:b w:val="0"/>
          <w:bCs/>
          <w:i w:val="0"/>
          <w:caps w:val="0"/>
          <w:color w:val="000000"/>
          <w:spacing w:val="0"/>
          <w:kern w:val="0"/>
          <w:sz w:val="32"/>
          <w:szCs w:val="32"/>
          <w:shd w:val="clear" w:color="auto" w:fill="FFFFFF"/>
          <w:lang w:val="en-US" w:eastAsia="zh-CN" w:bidi="ar"/>
        </w:rPr>
      </w:pPr>
      <w:r>
        <w:rPr>
          <w:rFonts w:hint="eastAsia" w:ascii="黑体" w:hAnsi="宋体" w:eastAsia="黑体" w:cs="黑体"/>
          <w:b w:val="0"/>
          <w:bCs/>
          <w:i w:val="0"/>
          <w:caps w:val="0"/>
          <w:color w:val="000000"/>
          <w:spacing w:val="0"/>
          <w:kern w:val="0"/>
          <w:sz w:val="32"/>
          <w:szCs w:val="32"/>
          <w:shd w:val="clear" w:color="auto" w:fill="FFFFFF"/>
          <w:lang w:val="en-US" w:eastAsia="zh-CN" w:bidi="ar"/>
        </w:rPr>
        <w:t>二、部门预算单位机构设置情况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pPr>
      <w:r>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t>根据编委核定,我单位内设股（科）室5个，为办公室、办信股、接访股、督查股、复查复核办公室 ；二级机构1个，为人民群众来访接待中心。</w:t>
      </w:r>
    </w:p>
    <w:p>
      <w:pPr>
        <w:widowControl/>
        <w:shd w:val="clear" w:color="auto" w:fill="FFFFFF"/>
        <w:spacing w:line="390" w:lineRule="atLeast"/>
        <w:ind w:firstLine="640" w:firstLineChars="200"/>
        <w:jc w:val="left"/>
        <w:rPr>
          <w:rFonts w:hint="eastAsia"/>
          <w:lang w:val="en-US" w:eastAsia="zh-CN"/>
        </w:rPr>
      </w:pPr>
      <w:r>
        <w:rPr>
          <w:rFonts w:hint="eastAsia" w:ascii="仿宋_GB2312" w:hAnsi="仿宋_GB2312" w:eastAsia="仿宋_GB2312" w:cs="仿宋_GB2312"/>
          <w:sz w:val="32"/>
          <w:szCs w:val="32"/>
        </w:rPr>
        <w:t>我单位2019年预算公开内容包括本级和所属部门、二级机构预算在内的汇总预算。</w:t>
      </w:r>
      <w:bookmarkStart w:id="0" w:name="_GoBack"/>
      <w:bookmarkEnd w:id="0"/>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微软雅黑" w:hAnsi="微软雅黑" w:eastAsia="微软雅黑" w:cs="微软雅黑"/>
          <w:b w:val="0"/>
          <w:bCs/>
          <w:i w:val="0"/>
          <w:caps w:val="0"/>
          <w:color w:val="000000"/>
          <w:spacing w:val="0"/>
          <w:sz w:val="21"/>
          <w:szCs w:val="21"/>
        </w:rPr>
      </w:pPr>
      <w:r>
        <w:rPr>
          <w:rFonts w:hint="eastAsia" w:ascii="黑体" w:hAnsi="宋体" w:eastAsia="黑体" w:cs="黑体"/>
          <w:b w:val="0"/>
          <w:bCs/>
          <w:i w:val="0"/>
          <w:caps w:val="0"/>
          <w:color w:val="000000"/>
          <w:spacing w:val="0"/>
          <w:kern w:val="0"/>
          <w:sz w:val="32"/>
          <w:szCs w:val="32"/>
          <w:shd w:val="clear" w:color="auto" w:fill="FFFFFF"/>
          <w:lang w:val="en-US" w:eastAsia="zh-CN" w:bidi="ar"/>
        </w:rPr>
        <w:t>三、部门预算收支情况说明</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微软雅黑" w:hAnsi="微软雅黑" w:eastAsia="微软雅黑" w:cs="微软雅黑"/>
          <w:b/>
          <w:bCs/>
          <w:i w:val="0"/>
          <w:caps w:val="0"/>
          <w:color w:val="000000"/>
          <w:spacing w:val="0"/>
          <w:sz w:val="21"/>
          <w:szCs w:val="21"/>
        </w:rPr>
      </w:pPr>
      <w:r>
        <w:rPr>
          <w:rFonts w:hint="eastAsia" w:ascii="仿宋_GB2312" w:hAnsi="微软雅黑" w:eastAsia="仿宋_GB2312" w:cs="仿宋_GB2312"/>
          <w:b/>
          <w:bCs/>
          <w:i w:val="0"/>
          <w:caps w:val="0"/>
          <w:color w:val="000000"/>
          <w:spacing w:val="0"/>
          <w:kern w:val="0"/>
          <w:sz w:val="32"/>
          <w:szCs w:val="32"/>
          <w:shd w:val="clear" w:color="auto" w:fill="FFFFFF"/>
          <w:lang w:val="en-US" w:eastAsia="zh-CN" w:bidi="ar"/>
        </w:rPr>
        <w:t>1、2019年预算收入、支出比2018年增减情况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微软雅黑" w:hAnsi="微软雅黑" w:eastAsia="微软雅黑" w:cs="微软雅黑"/>
          <w:b w:val="0"/>
          <w:i w:val="0"/>
          <w:caps w:val="0"/>
          <w:color w:val="000000"/>
          <w:spacing w:val="0"/>
          <w:sz w:val="21"/>
          <w:szCs w:val="21"/>
        </w:rPr>
      </w:pPr>
      <w:r>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t>2019年收入406.59万元，2018年收入377.63万元。与2018年相比增加28.96万元。增加的原因主要是人员增资。2019年支出406.59万元，2018年支出377.63万元。与2018年相比单位支出总体增加28.96万元。增加的原因主要是人员增资。</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仿宋_GB2312" w:hAnsi="微软雅黑" w:eastAsia="仿宋_GB2312" w:cs="仿宋_GB2312"/>
          <w:b/>
          <w:bCs/>
          <w:i w:val="0"/>
          <w:caps w:val="0"/>
          <w:color w:val="000000"/>
          <w:spacing w:val="0"/>
          <w:kern w:val="0"/>
          <w:sz w:val="32"/>
          <w:szCs w:val="32"/>
          <w:shd w:val="clear" w:color="auto" w:fill="FFFFFF"/>
          <w:lang w:val="en-US" w:eastAsia="zh-CN" w:bidi="ar"/>
        </w:rPr>
      </w:pPr>
      <w:r>
        <w:rPr>
          <w:rFonts w:hint="eastAsia" w:ascii="仿宋_GB2312" w:hAnsi="微软雅黑" w:eastAsia="仿宋_GB2312" w:cs="仿宋_GB2312"/>
          <w:b/>
          <w:bCs/>
          <w:i w:val="0"/>
          <w:caps w:val="0"/>
          <w:color w:val="000000"/>
          <w:spacing w:val="0"/>
          <w:kern w:val="0"/>
          <w:sz w:val="32"/>
          <w:szCs w:val="32"/>
          <w:shd w:val="clear" w:color="auto" w:fill="FFFFFF"/>
          <w:lang w:val="en-US" w:eastAsia="zh-CN" w:bidi="ar"/>
        </w:rPr>
        <w:t>2、机关运行经费情况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微软雅黑" w:hAnsi="微软雅黑" w:eastAsia="微软雅黑" w:cs="微软雅黑"/>
          <w:b w:val="0"/>
          <w:i w:val="0"/>
          <w:caps w:val="0"/>
          <w:color w:val="000000"/>
          <w:spacing w:val="0"/>
          <w:sz w:val="21"/>
          <w:szCs w:val="21"/>
        </w:rPr>
      </w:pPr>
      <w:r>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t>2019年度机关运行经费财政拨款预算3.7万元，较2018年预算增加0.19万元。增加的原因主要是业务量增加。</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仿宋_GB2312" w:hAnsi="微软雅黑" w:eastAsia="仿宋_GB2312" w:cs="仿宋_GB2312"/>
          <w:b/>
          <w:bCs/>
          <w:i w:val="0"/>
          <w:caps w:val="0"/>
          <w:color w:val="000000"/>
          <w:spacing w:val="0"/>
          <w:kern w:val="0"/>
          <w:sz w:val="32"/>
          <w:szCs w:val="32"/>
          <w:shd w:val="clear" w:color="auto" w:fill="FFFFFF"/>
          <w:lang w:val="en-US" w:eastAsia="zh-CN" w:bidi="ar"/>
        </w:rPr>
      </w:pPr>
      <w:r>
        <w:rPr>
          <w:rFonts w:hint="eastAsia" w:ascii="仿宋_GB2312" w:hAnsi="微软雅黑" w:eastAsia="仿宋_GB2312" w:cs="仿宋_GB2312"/>
          <w:b/>
          <w:bCs/>
          <w:i w:val="0"/>
          <w:caps w:val="0"/>
          <w:color w:val="000000"/>
          <w:spacing w:val="0"/>
          <w:kern w:val="0"/>
          <w:sz w:val="32"/>
          <w:szCs w:val="32"/>
          <w:shd w:val="clear" w:color="auto" w:fill="FFFFFF"/>
          <w:lang w:val="en-US" w:eastAsia="zh-CN" w:bidi="ar"/>
        </w:rPr>
        <w:t>3、政府采购执行情况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微软雅黑" w:hAnsi="微软雅黑" w:eastAsia="微软雅黑" w:cs="微软雅黑"/>
          <w:b w:val="0"/>
          <w:i w:val="0"/>
          <w:caps w:val="0"/>
          <w:color w:val="000000"/>
          <w:spacing w:val="0"/>
          <w:sz w:val="21"/>
          <w:szCs w:val="21"/>
        </w:rPr>
      </w:pPr>
      <w:r>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t>2019年我单位政府采购预算总额0万元。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仿宋_GB2312" w:hAnsi="微软雅黑" w:eastAsia="仿宋_GB2312" w:cs="仿宋_GB2312"/>
          <w:b/>
          <w:bCs/>
          <w:i w:val="0"/>
          <w:caps w:val="0"/>
          <w:color w:val="000000"/>
          <w:spacing w:val="0"/>
          <w:kern w:val="0"/>
          <w:sz w:val="32"/>
          <w:szCs w:val="32"/>
          <w:shd w:val="clear" w:color="auto" w:fill="FFFFFF"/>
          <w:lang w:val="en-US" w:eastAsia="zh-CN" w:bidi="ar"/>
        </w:rPr>
      </w:pPr>
      <w:r>
        <w:rPr>
          <w:rFonts w:hint="eastAsia" w:ascii="仿宋_GB2312" w:hAnsi="微软雅黑" w:eastAsia="仿宋_GB2312" w:cs="仿宋_GB2312"/>
          <w:b/>
          <w:bCs/>
          <w:i w:val="0"/>
          <w:caps w:val="0"/>
          <w:color w:val="000000"/>
          <w:spacing w:val="0"/>
          <w:kern w:val="0"/>
          <w:sz w:val="32"/>
          <w:szCs w:val="32"/>
          <w:shd w:val="clear" w:color="auto" w:fill="FFFFFF"/>
          <w:lang w:val="en-US" w:eastAsia="zh-CN" w:bidi="ar"/>
        </w:rPr>
        <w:t>4、“三公经费”预算</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微软雅黑" w:hAnsi="微软雅黑" w:eastAsia="微软雅黑" w:cs="微软雅黑"/>
          <w:b w:val="0"/>
          <w:i w:val="0"/>
          <w:caps w:val="0"/>
          <w:color w:val="000000"/>
          <w:spacing w:val="0"/>
          <w:sz w:val="21"/>
          <w:szCs w:val="21"/>
        </w:rPr>
      </w:pPr>
      <w:r>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t>2019年度“三公经费”预算3.1万元，与2018年预算减少2.4万元。减少的原因主要是压缩开支。其中因公出国（境）费用0万元，较上年预算增加0万元；公务接待费0.3万元，较上年预算减少0.2万元，减少的主要原因是厉行节约；公务用车运行维护费2.8万元，较上年预算减少2.2万元，减少的主要原因是减少支出，积极响应八项规定；公务用车购置费0万元，较上年预算增加0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微软雅黑" w:hAnsi="微软雅黑" w:eastAsia="微软雅黑" w:cs="微软雅黑"/>
          <w:b/>
          <w:bCs/>
          <w:i w:val="0"/>
          <w:caps w:val="0"/>
          <w:color w:val="000000"/>
          <w:spacing w:val="0"/>
          <w:sz w:val="21"/>
          <w:szCs w:val="21"/>
          <w:highlight w:val="none"/>
        </w:rPr>
      </w:pPr>
      <w:r>
        <w:rPr>
          <w:rFonts w:hint="eastAsia" w:ascii="仿宋_GB2312" w:hAnsi="微软雅黑" w:eastAsia="仿宋_GB2312" w:cs="仿宋_GB2312"/>
          <w:b/>
          <w:bCs/>
          <w:i w:val="0"/>
          <w:caps w:val="0"/>
          <w:color w:val="000000"/>
          <w:spacing w:val="0"/>
          <w:kern w:val="0"/>
          <w:sz w:val="32"/>
          <w:szCs w:val="32"/>
          <w:highlight w:val="none"/>
          <w:shd w:val="clear" w:color="auto" w:fill="FFFFFF"/>
          <w:lang w:val="en-US" w:eastAsia="zh-CN" w:bidi="ar"/>
        </w:rPr>
        <w:t>5、绩效管理情况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微软雅黑" w:hAnsi="微软雅黑" w:eastAsia="微软雅黑" w:cs="微软雅黑"/>
          <w:b w:val="0"/>
          <w:i w:val="0"/>
          <w:caps w:val="0"/>
          <w:color w:val="000000"/>
          <w:spacing w:val="0"/>
          <w:sz w:val="21"/>
          <w:szCs w:val="21"/>
          <w:highlight w:val="none"/>
        </w:rPr>
      </w:pPr>
      <w:r>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t>2019年度本部门设定绩效目标管理的项目共0个，共0万元。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仿宋_GB2312" w:hAnsi="微软雅黑" w:eastAsia="仿宋_GB2312" w:cs="仿宋_GB2312"/>
          <w:b/>
          <w:bCs/>
          <w:i w:val="0"/>
          <w:caps w:val="0"/>
          <w:color w:val="000000"/>
          <w:spacing w:val="0"/>
          <w:kern w:val="0"/>
          <w:sz w:val="32"/>
          <w:szCs w:val="32"/>
          <w:highlight w:val="none"/>
          <w:shd w:val="clear" w:color="auto" w:fill="FFFFFF"/>
          <w:lang w:val="en-US" w:eastAsia="zh-CN" w:bidi="ar"/>
        </w:rPr>
      </w:pPr>
      <w:r>
        <w:rPr>
          <w:rFonts w:hint="eastAsia" w:ascii="仿宋_GB2312" w:hAnsi="微软雅黑" w:eastAsia="仿宋_GB2312" w:cs="仿宋_GB2312"/>
          <w:b/>
          <w:bCs/>
          <w:i w:val="0"/>
          <w:caps w:val="0"/>
          <w:color w:val="000000"/>
          <w:spacing w:val="0"/>
          <w:kern w:val="0"/>
          <w:sz w:val="32"/>
          <w:szCs w:val="32"/>
          <w:highlight w:val="none"/>
          <w:shd w:val="clear" w:color="auto" w:fill="FFFFFF"/>
          <w:lang w:val="en-US" w:eastAsia="zh-CN" w:bidi="ar"/>
        </w:rPr>
        <w:t>6、国有资产占用情况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pPr>
      <w:r>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t>2018年期末，我单位共有车辆1辆，其中：一般公务用车1辆；单价50万元以上通用设备0台，单位价值100万元以上专用设备1台。</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黑体" w:hAnsi="黑体" w:eastAsia="黑体" w:cs="黑体"/>
          <w:b w:val="0"/>
          <w:i w:val="0"/>
          <w:caps w:val="0"/>
          <w:color w:val="000000"/>
          <w:spacing w:val="0"/>
          <w:kern w:val="0"/>
          <w:sz w:val="32"/>
          <w:szCs w:val="32"/>
          <w:highlight w:val="none"/>
          <w:shd w:val="clear" w:color="auto" w:fill="FFFFFF"/>
          <w:lang w:val="en-US" w:eastAsia="zh-CN" w:bidi="ar"/>
        </w:rPr>
      </w:pPr>
      <w:r>
        <w:rPr>
          <w:rFonts w:hint="eastAsia" w:ascii="黑体" w:hAnsi="黑体" w:eastAsia="黑体" w:cs="黑体"/>
          <w:b w:val="0"/>
          <w:i w:val="0"/>
          <w:caps w:val="0"/>
          <w:color w:val="000000"/>
          <w:spacing w:val="0"/>
          <w:kern w:val="0"/>
          <w:sz w:val="32"/>
          <w:szCs w:val="32"/>
          <w:highlight w:val="none"/>
          <w:shd w:val="clear" w:color="auto" w:fill="FFFFFF"/>
          <w:lang w:val="en-US" w:eastAsia="zh-CN" w:bidi="ar"/>
        </w:rPr>
        <w:t>四、名词解释</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pPr>
      <w:r>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t>（一）基本支出：指为保障机构正常运转、完成日常工作任务而发生的人员支出和公用支出。</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pPr>
      <w:r>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t>（二）项目支出：指在基本支出之外为完成特定行政任务和事业发展目标所发生的支出。</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pPr>
      <w:r>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t>（三）机关运行经费：指各部门的公用经费，包括办公及印刷费、邮电费、差旅费、会议费、福利费、日常维修费、专用材料及一般设备购置费、办公用房水电费、办公用房取暖费、办公用房物业管理费、公务用车运行维护费以及其他费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pPr>
      <w:r>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t>（四）“三公”经费：指县直部门用一般公共预算安排的因公出国（境）费、公务用车购置及运行费和公务接待费。其中，因公出国（境）费反映单位公务出国（境）的国际差旅费、国外城市间交通费、住宿费、伙食费、培训费、公杂费等支出；公务用车购置费反映公务用车车辆购置支出（含车辆购置税）；公务用车运行维护费反映单位按规定保留的公务用车燃料费、维修费、过路过桥费、保险费等支出；公务接待费反映单位按规定开支的各类公务接待支出。</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文星楷体">
    <w:panose1 w:val="0201060900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3BF7C16"/>
    <w:multiLevelType w:val="singleLevel"/>
    <w:tmpl w:val="E3BF7C1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5A8"/>
    <w:rsid w:val="005C35A8"/>
    <w:rsid w:val="00606E68"/>
    <w:rsid w:val="00654D04"/>
    <w:rsid w:val="00806B9B"/>
    <w:rsid w:val="009E0B3B"/>
    <w:rsid w:val="00D611A3"/>
    <w:rsid w:val="00EC63A8"/>
    <w:rsid w:val="028050F1"/>
    <w:rsid w:val="04EE78F9"/>
    <w:rsid w:val="0A5D1777"/>
    <w:rsid w:val="0E621B60"/>
    <w:rsid w:val="14EF40DE"/>
    <w:rsid w:val="194A7B78"/>
    <w:rsid w:val="2B020AB5"/>
    <w:rsid w:val="2B2217DA"/>
    <w:rsid w:val="2B953E64"/>
    <w:rsid w:val="2F3D3B20"/>
    <w:rsid w:val="3097036F"/>
    <w:rsid w:val="32C1373C"/>
    <w:rsid w:val="33146109"/>
    <w:rsid w:val="36A46BCD"/>
    <w:rsid w:val="39FE7626"/>
    <w:rsid w:val="4B880670"/>
    <w:rsid w:val="4E2D71B5"/>
    <w:rsid w:val="4F8F2329"/>
    <w:rsid w:val="50492666"/>
    <w:rsid w:val="52C84EA8"/>
    <w:rsid w:val="53602C96"/>
    <w:rsid w:val="538E2C6F"/>
    <w:rsid w:val="56E47DEE"/>
    <w:rsid w:val="57E00BF1"/>
    <w:rsid w:val="62204E1F"/>
    <w:rsid w:val="63181B3C"/>
    <w:rsid w:val="63A36064"/>
    <w:rsid w:val="680622A8"/>
    <w:rsid w:val="7048463E"/>
    <w:rsid w:val="70D12887"/>
    <w:rsid w:val="742732BA"/>
    <w:rsid w:val="752E6E01"/>
    <w:rsid w:val="77F8469F"/>
    <w:rsid w:val="7BCE256C"/>
    <w:rsid w:val="7DFD6C84"/>
    <w:rsid w:val="7FCE52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qFormat/>
    <w:uiPriority w:val="99"/>
    <w:pPr>
      <w:spacing w:after="12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4</Pages>
  <Words>193</Words>
  <Characters>1106</Characters>
  <Lines>9</Lines>
  <Paragraphs>2</Paragraphs>
  <TotalTime>0</TotalTime>
  <ScaleCrop>false</ScaleCrop>
  <LinksUpToDate>false</LinksUpToDate>
  <CharactersWithSpaces>1297</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2019-08-06T09:29:00Z</dcterms:created>
  <dc:creator>xbany</dc:creator>
  <cp:lastModifiedBy>Administrator</cp:lastModifiedBy>
  <dcterms:modified xsi:type="dcterms:W3CDTF">2021-06-08T07:35:25Z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y fmtid="{D5CDD505-2E9C-101B-9397-08002B2CF9AE}" pid="3" name="ICV">
    <vt:lpwstr>22F418FDFA724DD0A2D1C8E1C1A9FB32</vt:lpwstr>
  </property>
</Properties>
</file>