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bidi="ar"/>
        </w:rPr>
        <w:t>民权县</w:t>
      </w:r>
      <w:r>
        <w:rPr>
          <w:rFonts w:hint="eastAsia" w:ascii="宋体" w:hAnsi="宋体" w:cs="宋体"/>
          <w:b/>
          <w:color w:val="000000"/>
          <w:kern w:val="0"/>
          <w:sz w:val="44"/>
          <w:szCs w:val="44"/>
          <w:shd w:val="clear" w:color="auto" w:fill="FFFFFF"/>
          <w:lang w:val="en-US" w:eastAsia="zh-CN" w:bidi="ar"/>
        </w:rPr>
        <w:t>食品药品监督管理局</w:t>
      </w:r>
      <w:r>
        <w:rPr>
          <w:rFonts w:hint="eastAsia" w:ascii="宋体" w:hAnsi="宋体" w:cs="宋体"/>
          <w:b/>
          <w:color w:val="000000"/>
          <w:kern w:val="0"/>
          <w:sz w:val="44"/>
          <w:szCs w:val="44"/>
          <w:shd w:val="clear" w:color="auto" w:fill="FFFFFF"/>
          <w:lang w:bidi="ar"/>
        </w:rPr>
        <w:t>2019年预算公开情况说明</w:t>
      </w:r>
    </w:p>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p>
    <w:p>
      <w:pPr>
        <w:widowControl/>
        <w:shd w:val="clear" w:color="auto" w:fill="FFFFFF"/>
        <w:spacing w:line="390" w:lineRule="atLeast"/>
        <w:ind w:firstLine="300"/>
        <w:jc w:val="center"/>
        <w:rPr>
          <w:rFonts w:hint="eastAsia" w:ascii="宋体" w:hAnsi="宋体" w:cs="Arial"/>
          <w:sz w:val="44"/>
          <w:szCs w:val="44"/>
        </w:rPr>
      </w:pPr>
      <w:r>
        <w:rPr>
          <w:rFonts w:hint="eastAsia" w:ascii="文星楷体" w:hAnsi="文星楷体" w:eastAsia="文星楷体" w:cs="文星楷体"/>
          <w:sz w:val="44"/>
          <w:szCs w:val="44"/>
        </w:rPr>
        <w:t>目  录</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一、部门主要职能</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二、部门预算单位机构设置情况</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三、部门预算收支情况说明</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四、名词解释</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附件：2019年度部门预算公开表</w:t>
      </w:r>
    </w:p>
    <w:p>
      <w:pPr>
        <w:widowControl/>
        <w:shd w:val="clear" w:color="auto" w:fill="FFFFFF"/>
        <w:spacing w:line="390" w:lineRule="atLeast"/>
        <w:ind w:firstLine="1440" w:firstLineChars="4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、部门收入总表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、部门支出总表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、财政拨款收支总表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、一般公共预算基本支出情况表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、政府性基金预算支出情况表</w:t>
      </w:r>
    </w:p>
    <w:p>
      <w:pPr>
        <w:widowControl/>
        <w:shd w:val="clear" w:color="auto" w:fill="FFFFFF"/>
        <w:spacing w:line="390" w:lineRule="atLeast"/>
        <w:jc w:val="left"/>
        <w:rPr>
          <w:rFonts w:hint="eastAsia" w:ascii="宋体" w:hAnsi="宋体" w:cs="Arial"/>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、一般公共预算“三公”经费支出情况表</w:t>
      </w: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numPr>
          <w:ilvl w:val="0"/>
          <w:numId w:val="1"/>
        </w:numPr>
        <w:shd w:val="clear" w:color="auto" w:fill="FFFFFF"/>
        <w:spacing w:line="390" w:lineRule="atLeast"/>
        <w:ind w:firstLine="645"/>
        <w:jc w:val="left"/>
        <w:rPr>
          <w:rFonts w:hint="eastAsia" w:ascii="黑体" w:hAnsi="黑体" w:eastAsia="黑体" w:cs="黑体"/>
          <w:sz w:val="32"/>
          <w:szCs w:val="32"/>
        </w:rPr>
      </w:pPr>
      <w:r>
        <w:rPr>
          <w:rFonts w:hint="eastAsia" w:ascii="黑体" w:hAnsi="黑体" w:eastAsia="黑体" w:cs="黑体"/>
          <w:sz w:val="32"/>
          <w:szCs w:val="32"/>
        </w:rPr>
        <w:t>部门主要职责</w:t>
      </w:r>
    </w:p>
    <w:p>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贯彻执行国家、省、市有关食品（含食品添加剂、保健食品，下同）安全、药品（含中药、民族药，下同）、医疗器械、化妆品监督管理的法律、法规。拟订并组织实施全县食品、药品、医疗器械、化妆品安全规划以及地方性食品安全管理办法、规定和监管程序、操作规程等规范性文件。推动建立落实食品药品安全企业主体责任、乡镇政府负总责的机制，建立食品药品重大信息直报制度并组织实施和监督检查，着力防范区域性、系统性食品药品安全风险。</w:t>
      </w:r>
    </w:p>
    <w:p>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依法组织实施食品行政许可和质量安全监督管理，建立食品安全隐患排查治理机制，制定全县食品安全检查年度计划、重大整顿治理方案并组织落实。建立并组织实施食品药品安全信息统一发布制度，公布重大食品安全信息。参与制定食品安全风险监测计划，根据食品安全风险监测计划参与食品安全风险监测工作。组织开展食品安全监督抽样检验工作。</w:t>
      </w:r>
    </w:p>
    <w:p>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监督实施国家药典等药品和医疗器械标准、分类管理制度。负责药品、医疗器械研制、生产、流通和使用质量安全监管。负责药品、医疗器械的监督检查。组织实施中药品种保护制度。建立药品不良反应、医疗器械不良事件监测体系，并开展监测和处置工作。根据化妆品监督管理办法组织实施化妆品监督管理。</w:t>
      </w:r>
    </w:p>
    <w:p>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负责制定食品药品监督管理的稽查制度并组织实施，组织查处重大违法行为。建立问题产品召回和处置制度并监督实施。</w:t>
      </w:r>
    </w:p>
    <w:p>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负责食品药品安全事故应急体系建设，组织和指导食品药品安全事故应急处置和调查处理工作，监督事故查处落实情况。</w:t>
      </w:r>
    </w:p>
    <w:p>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负责制定食品药品安全科技发展规划并组织实施，推动食品药品检验检测体系、电子监管追溯体系和信息化建设。</w:t>
      </w:r>
    </w:p>
    <w:p>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负责开展食品药品、医疗器械、化妆品安全宣传、教育培训、对外交流与合作。推进诚信体系建设。</w:t>
      </w:r>
    </w:p>
    <w:p>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指导各乡镇食品药品监督管理工作，负责全县辖区内和民权高新区的食品药品监督管理工作，规范行政执法行为，完善行政执法与刑事司法衔接机制。</w:t>
      </w:r>
    </w:p>
    <w:p>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承担县政府食品安全委员会日常工作。负责食品安全监督管理综合协调，推动健全协调联动机制。督促检查县相关部门和各乡镇政府履行食品安全监督管理职责并负责考核评价。</w:t>
      </w:r>
    </w:p>
    <w:p>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承办县政府及县政府食品安全委员会交办的其他事项。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黑体" w:hAnsi="宋体" w:eastAsia="黑体" w:cs="黑体"/>
          <w:b w:val="0"/>
          <w:bCs/>
          <w:i w:val="0"/>
          <w:caps w:val="0"/>
          <w:color w:val="000000"/>
          <w:spacing w:val="0"/>
          <w:kern w:val="0"/>
          <w:sz w:val="32"/>
          <w:szCs w:val="32"/>
          <w:shd w:val="clear" w:color="auto" w:fill="FFFFFF"/>
          <w:lang w:val="en-US" w:eastAsia="zh-CN" w:bidi="ar"/>
        </w:rPr>
      </w:pPr>
      <w:r>
        <w:rPr>
          <w:rFonts w:hint="eastAsia" w:ascii="黑体" w:hAnsi="宋体" w:eastAsia="黑体" w:cs="黑体"/>
          <w:b w:val="0"/>
          <w:bCs/>
          <w:i w:val="0"/>
          <w:caps w:val="0"/>
          <w:color w:val="000000"/>
          <w:spacing w:val="0"/>
          <w:kern w:val="0"/>
          <w:sz w:val="32"/>
          <w:szCs w:val="32"/>
          <w:shd w:val="clear" w:color="auto" w:fill="FFFFFF"/>
          <w:lang w:val="en-US" w:eastAsia="zh-CN" w:bidi="ar"/>
        </w:rPr>
        <w:t>二、部门预算单位机构设置情况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根据编委核定,我单位内设股（科）室9个，为办公室、食品安全协调督查股、政策法规股、食品生产流通监管股、餐饮食品监管股、药品化妆品生产流通监管股、 医疗器械监管和应急管理及科技装备股、人事财务股、食品药品稽查大队；二级机构2个，为民权县食品药品监测评价中心、 民权县食品药品监督管理服务中心；派驻机构19个，名称为各乡（镇、街道办）食品药品监督管理所。</w:t>
      </w:r>
    </w:p>
    <w:p>
      <w:pPr>
        <w:widowControl/>
        <w:shd w:val="clear" w:color="auto" w:fill="FFFFFF"/>
        <w:spacing w:line="39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我单位2019年预算公开内容包括本级和所属部门、二级机构预算在内的汇总预算。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bCs/>
          <w:i w:val="0"/>
          <w:caps w:val="0"/>
          <w:color w:val="000000"/>
          <w:spacing w:val="0"/>
          <w:sz w:val="21"/>
          <w:szCs w:val="21"/>
        </w:rPr>
      </w:pPr>
      <w:bookmarkStart w:id="0" w:name="_GoBack"/>
      <w:bookmarkEnd w:id="0"/>
      <w:r>
        <w:rPr>
          <w:rFonts w:hint="eastAsia" w:ascii="黑体" w:hAnsi="宋体" w:eastAsia="黑体" w:cs="黑体"/>
          <w:b w:val="0"/>
          <w:bCs/>
          <w:i w:val="0"/>
          <w:caps w:val="0"/>
          <w:color w:val="000000"/>
          <w:spacing w:val="0"/>
          <w:kern w:val="0"/>
          <w:sz w:val="32"/>
          <w:szCs w:val="32"/>
          <w:shd w:val="clear" w:color="auto" w:fill="FFFFFF"/>
          <w:lang w:val="en-US" w:eastAsia="zh-CN" w:bidi="ar"/>
        </w:rPr>
        <w:t>三、部门预算收支情况说明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bCs/>
          <w:i w:val="0"/>
          <w:caps w:val="0"/>
          <w:color w:val="000000"/>
          <w:spacing w:val="0"/>
          <w:sz w:val="21"/>
          <w:szCs w:val="21"/>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1、2019年预算收入、支出比2018年增减情况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收入1596.71万元，2018年收入1546.54万元。与2018年相比增加50.17万元。增加的原因主要是行政运行费用增加(工资普调及机关运行经费增加）2019年支出1596.71万元，2018年支出1546.54万元。与2018年相比单位支出总体增加50.17万元。增加的原因主要是行政运行、机关运行支出增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2、机关运行经费情况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2019年度机关运行经费财政拨款预算51.99万元，较2018年预算增加2.48万元。增加的原因主要是机构改革中办公、维护等费用增加。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3、政府采购执行情况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2019年我单位政府采购预算总额0万元。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4、“三公经费”预算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三公经费”预算125.08万元，与2018年预算增加85.98万元。增加的原因主要是政府采购配备执法执勤车辆11辆，省食品药品监督管理局统一招标配备快检车1辆，抽检批次增加及上级下达专项任务增加。其中因公出国（境）费用0万元，较上年预算增加0万元；公务接待费2.08万元，较上年预算增加0.98万元,增加原因主要是机构改革职能增加，业务量增加；公务用车运行维护费38万元，较上年预算增加0万元；公务用车购置费85万元，较上年预算增加85万元,增加的原因主要是政府采购配备执法执勤车辆11辆，省食品药品监督管理局统一招标配备快检车1辆，抽检批次增加及上级下达专项任务增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bCs/>
          <w:i w:val="0"/>
          <w:caps w:val="0"/>
          <w:color w:val="000000"/>
          <w:spacing w:val="0"/>
          <w:sz w:val="21"/>
          <w:szCs w:val="21"/>
          <w:highlight w:val="none"/>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5、绩效管理情况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highlight w:val="none"/>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2019年度本部门设定绩效目标管理的项目共0个，共0万元。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6、国有资产占用情况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2018年期末，我单位共有车辆14辆，其中：一般公务用车0辆；单价50万元以上通用设备0台，单位价值100万元以上专用设备0台。</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pPr>
      <w:r>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t>四、名词解释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（一）基本支出：指为保障机构正常运转、完成日常工作任务而发生的人员支出和公用支出。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（二）项目支出：指在基本支出之外为完成特定行政任务和事业发展目标所发生的支出。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三）机关运行经费：指各部门的公用经费，包括办公及印刷费、邮电费、差旅费、会议费、福利费、日常维修费、专用材料及一般设备购置费、办公用房水电费、办公用房取暖费、办公用房物业管理费、公务用车运行维护费以及其他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四）“三公”经费：指县直部门用一般公共预算安排的因公出国（境）费、公务用车购置及运行费和公务接待费。其中，因公出国（境）费反映单位公务出国（境）的国际差旅费、国外城市间交通费、住宿费、伙食费、培训费、公杂费等支出；公务用车购置费反映公务用车车辆购置支出（含车辆购置税）；公务用车运行维护费反映单位按规定保留的公务用车燃料费、维修费、过路过桥费、保险费等支出；公务接待费反映单位按规定开支的各类公务接待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楷体">
    <w:panose1 w:val="0201060900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BF7C16"/>
    <w:multiLevelType w:val="singleLevel"/>
    <w:tmpl w:val="E3BF7C1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5A8"/>
    <w:rsid w:val="00397810"/>
    <w:rsid w:val="005C35A8"/>
    <w:rsid w:val="00606E68"/>
    <w:rsid w:val="00654D04"/>
    <w:rsid w:val="00806B9B"/>
    <w:rsid w:val="009E0B3B"/>
    <w:rsid w:val="00D611A3"/>
    <w:rsid w:val="00EC63A8"/>
    <w:rsid w:val="028050F1"/>
    <w:rsid w:val="03326A51"/>
    <w:rsid w:val="049A6490"/>
    <w:rsid w:val="04BC511B"/>
    <w:rsid w:val="060234F3"/>
    <w:rsid w:val="061744A2"/>
    <w:rsid w:val="0D5F7815"/>
    <w:rsid w:val="0E621B60"/>
    <w:rsid w:val="14EF40DE"/>
    <w:rsid w:val="16F51DCF"/>
    <w:rsid w:val="1AF71E24"/>
    <w:rsid w:val="2033736D"/>
    <w:rsid w:val="270240FE"/>
    <w:rsid w:val="27827705"/>
    <w:rsid w:val="27F21D3D"/>
    <w:rsid w:val="2B2217DA"/>
    <w:rsid w:val="2C653F4B"/>
    <w:rsid w:val="2D236E09"/>
    <w:rsid w:val="2F3D3B20"/>
    <w:rsid w:val="375050E2"/>
    <w:rsid w:val="3D9944BB"/>
    <w:rsid w:val="3E1A6360"/>
    <w:rsid w:val="3F0C166B"/>
    <w:rsid w:val="41667CF9"/>
    <w:rsid w:val="4C522232"/>
    <w:rsid w:val="4F8F2329"/>
    <w:rsid w:val="538E2C6F"/>
    <w:rsid w:val="56E47DEE"/>
    <w:rsid w:val="57E00BF1"/>
    <w:rsid w:val="5D586044"/>
    <w:rsid w:val="5FAE0AD9"/>
    <w:rsid w:val="63A36064"/>
    <w:rsid w:val="64683F0D"/>
    <w:rsid w:val="651D5730"/>
    <w:rsid w:val="67A05729"/>
    <w:rsid w:val="6C5A3368"/>
    <w:rsid w:val="6EAE2A07"/>
    <w:rsid w:val="7048463E"/>
    <w:rsid w:val="70D12887"/>
    <w:rsid w:val="742732BA"/>
    <w:rsid w:val="75923221"/>
    <w:rsid w:val="75B11A7C"/>
    <w:rsid w:val="77F8469F"/>
    <w:rsid w:val="7A9F77DD"/>
    <w:rsid w:val="7BCE2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Pages>
  <Words>193</Words>
  <Characters>1106</Characters>
  <Lines>9</Lines>
  <Paragraphs>2</Paragraphs>
  <TotalTime>0</TotalTime>
  <ScaleCrop>false</ScaleCrop>
  <LinksUpToDate>false</LinksUpToDate>
  <CharactersWithSpaces>1297</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2019-08-06T09:29:00Z</dcterms:created>
  <dc:creator>xbany</dc:creator>
  <cp:lastModifiedBy>Administrator</cp:lastModifiedBy>
  <dcterms:modified xsi:type="dcterms:W3CDTF">2021-06-08T07:43:15Z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