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C30A7"/>
    <w:p w14:paraId="3BEB5B70"/>
    <w:p w14:paraId="6A7D7AE9"/>
    <w:p w14:paraId="74DCD161"/>
    <w:p w14:paraId="75BF415F"/>
    <w:p w14:paraId="0FF3522D"/>
    <w:p w14:paraId="0C71F876"/>
    <w:p w14:paraId="23B11F01">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民权县</w:t>
      </w:r>
    </w:p>
    <w:p w14:paraId="495B74EA">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2024年县本级财政重点绩效评价项目</w:t>
      </w:r>
    </w:p>
    <w:p w14:paraId="030AF15E">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完成情况</w:t>
      </w:r>
    </w:p>
    <w:p w14:paraId="00B20684">
      <w:pPr>
        <w:ind w:firstLine="1767" w:firstLineChars="400"/>
        <w:jc w:val="both"/>
        <w:rPr>
          <w:rFonts w:hint="eastAsia" w:ascii="宋体" w:hAnsi="宋体" w:eastAsia="宋体" w:cs="宋体"/>
          <w:b/>
          <w:bCs/>
          <w:sz w:val="44"/>
          <w:szCs w:val="44"/>
          <w:lang w:val="en-US" w:eastAsia="zh-CN"/>
        </w:rPr>
      </w:pPr>
    </w:p>
    <w:p w14:paraId="4E8ADEEE">
      <w:pPr>
        <w:ind w:firstLine="1767" w:firstLineChars="400"/>
        <w:jc w:val="both"/>
        <w:rPr>
          <w:rFonts w:hint="eastAsia" w:ascii="宋体" w:hAnsi="宋体" w:eastAsia="宋体" w:cs="宋体"/>
          <w:b/>
          <w:bCs/>
          <w:sz w:val="44"/>
          <w:szCs w:val="44"/>
          <w:lang w:val="en-US" w:eastAsia="zh-CN"/>
        </w:rPr>
      </w:pPr>
    </w:p>
    <w:p w14:paraId="7AF2A58D">
      <w:pPr>
        <w:ind w:firstLine="1767" w:firstLineChars="400"/>
        <w:jc w:val="both"/>
        <w:rPr>
          <w:rFonts w:hint="eastAsia" w:ascii="宋体" w:hAnsi="宋体" w:eastAsia="宋体" w:cs="宋体"/>
          <w:b/>
          <w:bCs/>
          <w:sz w:val="44"/>
          <w:szCs w:val="44"/>
          <w:lang w:val="en-US" w:eastAsia="zh-CN"/>
        </w:rPr>
      </w:pPr>
    </w:p>
    <w:p w14:paraId="3F0B707C">
      <w:pPr>
        <w:ind w:firstLine="1767" w:firstLineChars="400"/>
        <w:jc w:val="both"/>
        <w:rPr>
          <w:rFonts w:hint="eastAsia" w:ascii="宋体" w:hAnsi="宋体" w:eastAsia="宋体" w:cs="宋体"/>
          <w:b/>
          <w:bCs/>
          <w:sz w:val="44"/>
          <w:szCs w:val="44"/>
          <w:lang w:val="en-US" w:eastAsia="zh-CN"/>
        </w:rPr>
      </w:pPr>
    </w:p>
    <w:p w14:paraId="046F9862">
      <w:pPr>
        <w:ind w:firstLine="1767" w:firstLineChars="400"/>
        <w:jc w:val="both"/>
        <w:rPr>
          <w:rFonts w:hint="eastAsia" w:ascii="宋体" w:hAnsi="宋体" w:eastAsia="宋体" w:cs="宋体"/>
          <w:b/>
          <w:bCs/>
          <w:sz w:val="44"/>
          <w:szCs w:val="44"/>
          <w:lang w:val="en-US" w:eastAsia="zh-CN"/>
        </w:rPr>
      </w:pPr>
    </w:p>
    <w:p w14:paraId="76BCA006">
      <w:pPr>
        <w:ind w:firstLine="1767" w:firstLineChars="400"/>
        <w:jc w:val="both"/>
        <w:rPr>
          <w:rFonts w:hint="eastAsia" w:ascii="宋体" w:hAnsi="宋体" w:eastAsia="宋体" w:cs="宋体"/>
          <w:b/>
          <w:bCs/>
          <w:sz w:val="44"/>
          <w:szCs w:val="44"/>
          <w:lang w:val="en-US" w:eastAsia="zh-CN"/>
        </w:rPr>
      </w:pPr>
    </w:p>
    <w:p w14:paraId="1432B2E8">
      <w:pPr>
        <w:ind w:firstLine="1767" w:firstLineChars="400"/>
        <w:jc w:val="both"/>
        <w:rPr>
          <w:rFonts w:hint="eastAsia" w:ascii="宋体" w:hAnsi="宋体" w:eastAsia="宋体" w:cs="宋体"/>
          <w:b/>
          <w:bCs/>
          <w:sz w:val="44"/>
          <w:szCs w:val="44"/>
          <w:lang w:val="en-US" w:eastAsia="zh-CN"/>
        </w:rPr>
      </w:pPr>
    </w:p>
    <w:p w14:paraId="265F0427">
      <w:pPr>
        <w:ind w:firstLine="1767" w:firstLineChars="400"/>
        <w:jc w:val="both"/>
        <w:rPr>
          <w:rFonts w:hint="eastAsia" w:ascii="宋体" w:hAnsi="宋体" w:eastAsia="宋体" w:cs="宋体"/>
          <w:b/>
          <w:bCs/>
          <w:sz w:val="44"/>
          <w:szCs w:val="44"/>
          <w:lang w:val="en-US" w:eastAsia="zh-CN"/>
        </w:rPr>
      </w:pPr>
    </w:p>
    <w:p w14:paraId="40E9A621">
      <w:pPr>
        <w:ind w:firstLine="1767" w:firstLineChars="400"/>
        <w:jc w:val="both"/>
        <w:rPr>
          <w:rFonts w:hint="eastAsia" w:ascii="宋体" w:hAnsi="宋体" w:eastAsia="宋体" w:cs="宋体"/>
          <w:b/>
          <w:bCs/>
          <w:sz w:val="44"/>
          <w:szCs w:val="44"/>
          <w:lang w:val="en-US" w:eastAsia="zh-CN"/>
        </w:rPr>
      </w:pPr>
    </w:p>
    <w:p w14:paraId="7467AFFF">
      <w:pPr>
        <w:ind w:firstLine="1767" w:firstLineChars="400"/>
        <w:jc w:val="both"/>
        <w:rPr>
          <w:rFonts w:hint="eastAsia" w:ascii="宋体" w:hAnsi="宋体" w:eastAsia="宋体" w:cs="宋体"/>
          <w:b/>
          <w:bCs/>
          <w:sz w:val="44"/>
          <w:szCs w:val="44"/>
          <w:lang w:val="en-US" w:eastAsia="zh-CN"/>
        </w:rPr>
      </w:pPr>
    </w:p>
    <w:p w14:paraId="622878B4">
      <w:pPr>
        <w:ind w:firstLine="1767" w:firstLineChars="400"/>
        <w:jc w:val="both"/>
        <w:rPr>
          <w:rFonts w:hint="eastAsia" w:ascii="宋体" w:hAnsi="宋体" w:eastAsia="宋体" w:cs="宋体"/>
          <w:b/>
          <w:bCs/>
          <w:sz w:val="44"/>
          <w:szCs w:val="44"/>
          <w:lang w:val="en-US" w:eastAsia="zh-CN"/>
        </w:rPr>
      </w:pPr>
    </w:p>
    <w:p w14:paraId="6E6763BD">
      <w:pPr>
        <w:ind w:firstLine="1767" w:firstLineChars="400"/>
        <w:jc w:val="both"/>
        <w:rPr>
          <w:rFonts w:hint="eastAsia" w:ascii="宋体" w:hAnsi="宋体" w:eastAsia="宋体" w:cs="宋体"/>
          <w:b/>
          <w:bCs/>
          <w:sz w:val="44"/>
          <w:szCs w:val="44"/>
          <w:lang w:val="en-US" w:eastAsia="zh-CN"/>
        </w:rPr>
      </w:pPr>
    </w:p>
    <w:p w14:paraId="348C85E8">
      <w:pPr>
        <w:ind w:firstLine="1767" w:firstLineChars="400"/>
        <w:jc w:val="both"/>
        <w:rPr>
          <w:rFonts w:hint="eastAsia" w:ascii="宋体" w:hAnsi="宋体" w:eastAsia="宋体" w:cs="宋体"/>
          <w:b/>
          <w:bCs/>
          <w:sz w:val="44"/>
          <w:szCs w:val="44"/>
          <w:lang w:val="en-US" w:eastAsia="zh-CN"/>
        </w:rPr>
      </w:pPr>
    </w:p>
    <w:p w14:paraId="4D7A0511">
      <w:pPr>
        <w:ind w:firstLine="1767" w:firstLineChars="400"/>
        <w:jc w:val="both"/>
        <w:rPr>
          <w:rFonts w:hint="eastAsia" w:ascii="宋体" w:hAnsi="宋体" w:eastAsia="宋体" w:cs="宋体"/>
          <w:b/>
          <w:bCs/>
          <w:sz w:val="44"/>
          <w:szCs w:val="44"/>
          <w:lang w:val="en-US" w:eastAsia="zh-CN"/>
        </w:rPr>
      </w:pPr>
    </w:p>
    <w:p w14:paraId="7F7E3028">
      <w:pPr>
        <w:ind w:firstLine="1767" w:firstLineChars="400"/>
        <w:jc w:val="both"/>
        <w:rPr>
          <w:rFonts w:hint="default" w:ascii="宋体" w:hAnsi="宋体" w:eastAsia="宋体" w:cs="宋体"/>
          <w:b/>
          <w:bCs/>
          <w:sz w:val="28"/>
          <w:szCs w:val="28"/>
          <w:lang w:val="en-US" w:eastAsia="zh-CN"/>
        </w:rPr>
      </w:pPr>
      <w:r>
        <w:rPr>
          <w:rFonts w:hint="eastAsia" w:ascii="宋体" w:hAnsi="宋体" w:eastAsia="宋体" w:cs="宋体"/>
          <w:b/>
          <w:bCs/>
          <w:sz w:val="44"/>
          <w:szCs w:val="44"/>
          <w:lang w:val="en-US" w:eastAsia="zh-CN"/>
        </w:rPr>
        <w:t xml:space="preserve">    </w:t>
      </w:r>
      <w:r>
        <w:rPr>
          <w:rFonts w:hint="eastAsia" w:ascii="宋体" w:hAnsi="宋体" w:eastAsia="宋体" w:cs="宋体"/>
          <w:b/>
          <w:bCs/>
          <w:sz w:val="28"/>
          <w:szCs w:val="28"/>
          <w:lang w:val="en-US" w:eastAsia="zh-CN"/>
        </w:rPr>
        <w:t xml:space="preserve">    2025年12月</w:t>
      </w:r>
    </w:p>
    <w:p w14:paraId="51C9723B">
      <w:pPr>
        <w:rPr>
          <w:rFonts w:hint="default" w:eastAsiaTheme="minorEastAsia"/>
          <w:sz w:val="32"/>
          <w:szCs w:val="32"/>
          <w:lang w:val="en-US" w:eastAsia="zh-CN"/>
        </w:rPr>
      </w:pPr>
      <w:r>
        <w:rPr>
          <w:rFonts w:hint="default" w:eastAsiaTheme="minorEastAsia"/>
          <w:sz w:val="32"/>
          <w:szCs w:val="32"/>
          <w:lang w:val="en-US" w:eastAsia="zh-CN"/>
        </w:rPr>
        <w:br w:type="page"/>
      </w:r>
    </w:p>
    <w:p w14:paraId="37B01D4F">
      <w:pPr>
        <w:jc w:val="center"/>
        <w:rPr>
          <w:rFonts w:hint="default"/>
          <w:b/>
          <w:bCs/>
          <w:sz w:val="44"/>
          <w:szCs w:val="44"/>
          <w:lang w:val="en-US" w:eastAsia="zh-CN"/>
        </w:rPr>
      </w:pPr>
      <w:r>
        <w:rPr>
          <w:rFonts w:hint="eastAsia" w:asciiTheme="minorHAnsi" w:eastAsiaTheme="minorEastAsia"/>
          <w:b/>
          <w:bCs/>
          <w:sz w:val="44"/>
          <w:szCs w:val="44"/>
          <w:lang w:val="en-US" w:eastAsia="zh-CN"/>
        </w:rPr>
        <w:t>目 录</w:t>
      </w:r>
    </w:p>
    <w:p w14:paraId="424B5F3C">
      <w:pPr>
        <w:pStyle w:val="2"/>
        <w:rPr>
          <w:rFonts w:hint="eastAsia"/>
          <w:lang w:val="en-US" w:eastAsia="zh-CN"/>
        </w:rPr>
      </w:pPr>
    </w:p>
    <w:p w14:paraId="597B316B">
      <w:pPr>
        <w:jc w:val="both"/>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2024年县本级财政重点绩效评价项目完成情况</w:t>
      </w:r>
    </w:p>
    <w:p w14:paraId="1D9BCEAD">
      <w:pPr>
        <w:numPr>
          <w:ilvl w:val="0"/>
          <w:numId w:val="2"/>
        </w:numPr>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民权县公益性公墓建设项目绩效目标完成情况</w:t>
      </w:r>
    </w:p>
    <w:p w14:paraId="33F1D832">
      <w:pPr>
        <w:numPr>
          <w:ilvl w:val="0"/>
          <w:numId w:val="2"/>
        </w:numPr>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2024年郑徐高铁两侧防护林占地补偿款项目绩效目标完成情况</w:t>
      </w:r>
    </w:p>
    <w:p w14:paraId="5E541688">
      <w:pPr>
        <w:numPr>
          <w:ilvl w:val="0"/>
          <w:numId w:val="2"/>
        </w:numPr>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食品安全检测检验费项目绩效目标完成情况</w:t>
      </w:r>
    </w:p>
    <w:p w14:paraId="0FF4613A">
      <w:pPr>
        <w:numPr>
          <w:ilvl w:val="0"/>
          <w:numId w:val="2"/>
        </w:numPr>
        <w:jc w:val="both"/>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2024年路灯电费项目绩效目标完成情况</w:t>
      </w:r>
    </w:p>
    <w:p w14:paraId="3D8B07A7">
      <w:pPr>
        <w:numPr>
          <w:ilvl w:val="0"/>
          <w:numId w:val="2"/>
        </w:numPr>
        <w:jc w:val="both"/>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中共民权县委宣传部一般公务用车购置费项目绩效目标完成情况</w:t>
      </w:r>
    </w:p>
    <w:p w14:paraId="29C796F1">
      <w:pPr>
        <w:rPr>
          <w:rFonts w:hint="default" w:eastAsiaTheme="minorEastAsia"/>
          <w:sz w:val="32"/>
          <w:szCs w:val="32"/>
          <w:lang w:val="en-US" w:eastAsia="zh-CN"/>
        </w:rPr>
      </w:pPr>
      <w:r>
        <w:rPr>
          <w:rFonts w:hint="default" w:eastAsiaTheme="minorEastAsia"/>
          <w:sz w:val="32"/>
          <w:szCs w:val="32"/>
          <w:lang w:val="en-US" w:eastAsia="zh-CN"/>
        </w:rPr>
        <w:br w:type="page"/>
      </w:r>
    </w:p>
    <w:p w14:paraId="6C7568A3">
      <w:pPr>
        <w:pStyle w:val="11"/>
        <w:bidi w:val="0"/>
        <w:rPr>
          <w:rFonts w:hint="eastAsia" w:ascii="Times New Roman" w:hAnsi="Times New Roman" w:eastAsia="仿宋_GB2312" w:cs="Times New Roman"/>
          <w:sz w:val="44"/>
          <w:szCs w:val="44"/>
        </w:rPr>
      </w:pPr>
      <w:r>
        <w:rPr>
          <w:rFonts w:hint="eastAsia" w:ascii="Times New Roman" w:hAnsi="Times New Roman" w:eastAsia="仿宋_GB2312" w:cs="Times New Roman"/>
          <w:sz w:val="44"/>
          <w:szCs w:val="44"/>
        </w:rPr>
        <w:t>民权县民政局</w:t>
      </w:r>
    </w:p>
    <w:p w14:paraId="6DBD1C85">
      <w:pPr>
        <w:pStyle w:val="11"/>
        <w:bidi w:val="0"/>
        <w:rPr>
          <w:rFonts w:hint="eastAsia" w:ascii="Times New Roman" w:hAnsi="Times New Roman" w:eastAsia="仿宋_GB2312" w:cs="Times New Roman"/>
          <w:sz w:val="44"/>
          <w:szCs w:val="44"/>
        </w:rPr>
      </w:pPr>
      <w:r>
        <w:rPr>
          <w:rFonts w:hint="eastAsia" w:ascii="Times New Roman" w:hAnsi="Times New Roman" w:eastAsia="仿宋_GB2312" w:cs="Times New Roman"/>
          <w:sz w:val="44"/>
          <w:szCs w:val="44"/>
        </w:rPr>
        <w:t>民权县公益性公墓建设项目</w:t>
      </w:r>
    </w:p>
    <w:p w14:paraId="09EDF445">
      <w:pPr>
        <w:pStyle w:val="11"/>
        <w:bidi w:val="0"/>
        <w:rPr>
          <w:rFonts w:hint="eastAsia" w:ascii="Times New Roman" w:hAnsi="Times New Roman" w:eastAsia="仿宋_GB2312" w:cs="Times New Roman"/>
          <w:sz w:val="44"/>
          <w:szCs w:val="44"/>
        </w:rPr>
      </w:pPr>
      <w:r>
        <w:rPr>
          <w:rFonts w:hint="eastAsia" w:ascii="Times New Roman" w:hAnsi="Times New Roman" w:eastAsia="仿宋_GB2312" w:cs="Times New Roman"/>
          <w:sz w:val="44"/>
          <w:szCs w:val="44"/>
        </w:rPr>
        <w:t>绩效目标完成情况</w:t>
      </w:r>
    </w:p>
    <w:p w14:paraId="391B91C6">
      <w:pPr>
        <w:pStyle w:val="6"/>
        <w:bidi w:val="0"/>
        <w:rPr>
          <w:rFonts w:hint="eastAsia"/>
        </w:rPr>
      </w:pPr>
      <w:r>
        <w:rPr>
          <w:rFonts w:hint="eastAsia"/>
        </w:rPr>
        <w:t>一、项目基本情况</w:t>
      </w:r>
    </w:p>
    <w:p w14:paraId="3340CCC3">
      <w:pPr>
        <w:pStyle w:val="7"/>
        <w:bidi w:val="0"/>
        <w:rPr>
          <w:rFonts w:hint="eastAsia"/>
        </w:rPr>
      </w:pPr>
      <w:r>
        <w:rPr>
          <w:rFonts w:hint="eastAsia"/>
        </w:rPr>
        <w:t>（一）项目背景</w:t>
      </w:r>
    </w:p>
    <w:p w14:paraId="74287F49">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殡葬改革是我国各项改革的重要组成部分。国务院专门制定了《殡葬管理条例》，把殡葬改革纳入了法制化管理。大力推行火葬，推行少占或不占土地的骨灰处理方式，节约土地和森林资源，保护中华民族的生态环境，是国民经济可持续发展战略的一个重要组成部分。通过文明、健康、科学的现代殡葬服务，对群众的丧葬方式和丧葬行为进行引导和示范，对我国移风易俗和社会的文明进步将起到积极的促进作用。</w:t>
      </w:r>
    </w:p>
    <w:p w14:paraId="420D1752">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民权县早年落实国家殡葬改革政策已经建设一批城市公益性公共墓地，但近</w:t>
      </w:r>
      <w:r>
        <w:rPr>
          <w:rFonts w:hint="eastAsia" w:ascii="Times New Roman" w:hAnsi="Times New Roman" w:eastAsia="仿宋_GB2312" w:cs="Times New Roman"/>
          <w:sz w:val="32"/>
          <w:szCs w:val="32"/>
          <w:lang w:eastAsia="zh-CN"/>
        </w:rPr>
        <w:t>年来</w:t>
      </w:r>
      <w:r>
        <w:rPr>
          <w:rFonts w:hint="eastAsia" w:ascii="Times New Roman" w:hAnsi="Times New Roman" w:eastAsia="仿宋_GB2312" w:cs="Times New Roman"/>
          <w:sz w:val="32"/>
          <w:szCs w:val="32"/>
        </w:rPr>
        <w:t>的公共墓地建设相较于民权当地的经济社会发展相对迟滞，现有的城市公益性公共墓地在可预期的未来已无法满足需要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需要建设一批新的公共墓地满足群众的殡葬需求。同时，为了配合城市更新提质改造，早年建设的公共墓地需要进行集体搬迁，使得建设新的公共墓地需求变得较为迫切。为解决以上</w:t>
      </w:r>
      <w:r>
        <w:rPr>
          <w:rFonts w:hint="eastAsia" w:ascii="Times New Roman" w:hAnsi="Times New Roman" w:eastAsia="仿宋_GB2312" w:cs="Times New Roman"/>
          <w:sz w:val="32"/>
          <w:szCs w:val="32"/>
          <w:lang w:eastAsia="zh-CN"/>
        </w:rPr>
        <w:t>两个</w:t>
      </w:r>
      <w:r>
        <w:rPr>
          <w:rFonts w:hint="eastAsia" w:ascii="Times New Roman" w:hAnsi="Times New Roman" w:eastAsia="仿宋_GB2312" w:cs="Times New Roman"/>
          <w:sz w:val="32"/>
          <w:szCs w:val="32"/>
        </w:rPr>
        <w:t>问题，民权县民政局根据自身职责要求，与财政部门沟通，结合民权当地实际研究后，拟通过申请专项债券资金的形式建设新的城市公益性公共墓地。</w:t>
      </w:r>
    </w:p>
    <w:p w14:paraId="1ED1202F">
      <w:pPr>
        <w:pStyle w:val="7"/>
        <w:bidi w:val="0"/>
        <w:rPr>
          <w:rFonts w:hint="eastAsia"/>
        </w:rPr>
      </w:pPr>
      <w:r>
        <w:rPr>
          <w:rFonts w:hint="eastAsia"/>
        </w:rPr>
        <w:t>（二）政策目标</w:t>
      </w:r>
    </w:p>
    <w:p w14:paraId="67F6CC5F">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目标1：建设民权县公益性公墓建设项目。</w:t>
      </w:r>
    </w:p>
    <w:p w14:paraId="57ADBE8D">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目标2</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2024年10月竣工。</w:t>
      </w:r>
    </w:p>
    <w:p w14:paraId="36BA72F8">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目标3：殡葬公共服务均等化、普惠化。</w:t>
      </w:r>
    </w:p>
    <w:p w14:paraId="69B3E1C0">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目标4：维护群众的切身利益，节约土地资源，改善生态环境。</w:t>
      </w:r>
    </w:p>
    <w:p w14:paraId="4694A293">
      <w:pPr>
        <w:pStyle w:val="7"/>
        <w:bidi w:val="0"/>
        <w:rPr>
          <w:rFonts w:hint="eastAsia"/>
        </w:rPr>
      </w:pPr>
      <w:r>
        <w:rPr>
          <w:rFonts w:hint="eastAsia"/>
        </w:rPr>
        <w:t>（</w:t>
      </w:r>
      <w:r>
        <w:rPr>
          <w:rFonts w:hint="eastAsia"/>
          <w:lang w:val="en-US" w:eastAsia="zh-CN"/>
        </w:rPr>
        <w:t>三</w:t>
      </w:r>
      <w:r>
        <w:rPr>
          <w:rFonts w:hint="eastAsia"/>
        </w:rPr>
        <w:t>）政策内容</w:t>
      </w:r>
    </w:p>
    <w:p w14:paraId="03E7CA60">
      <w:pPr>
        <w:bidi w:val="0"/>
        <w:adjustRightInd w:val="0"/>
        <w:snapToGrid w:val="0"/>
        <w:spacing w:line="560" w:lineRule="exact"/>
        <w:ind w:firstLine="640" w:firstLineChars="200"/>
        <w:rPr>
          <w:rFonts w:hint="eastAsia" w:ascii="Times New Roman" w:hAnsi="Times New Roman" w:eastAsia="仿宋_GB2312" w:cs="Times New Roman"/>
          <w:sz w:val="32"/>
          <w:szCs w:val="32"/>
        </w:rPr>
      </w:pPr>
      <w:bookmarkStart w:id="0" w:name="OLE_LINK1"/>
      <w:r>
        <w:rPr>
          <w:rFonts w:hint="eastAsia" w:ascii="Times New Roman" w:hAnsi="Times New Roman" w:eastAsia="仿宋_GB2312" w:cs="Times New Roman"/>
          <w:sz w:val="32"/>
          <w:szCs w:val="32"/>
          <w:lang w:val="en-US" w:eastAsia="zh-CN"/>
        </w:rPr>
        <w:t>建筑物包括广安门、孝安殿、福寿宫、康宁塔、真武阁，主要结构形式为框架结构。室外工程包括土方工程、铺装工程、绿化工程、人行桥工程、泽厚路工程、室外给排水、电力、通信、照明、视频工程、墓碑工程（一期）等。总建筑面积为14094.72平方米，其中骨灰安放面积为7994.48平方米，墓区配套面积为6100.24平方米。此外，还配套实施了民宁干渠滨河路道路工程，全长4.044公里，北起S324省道，南至民权宁陵交界处，工程内容包括交通工程、道路工程、桥涵工程、绿化工程等。</w:t>
      </w:r>
      <w:bookmarkEnd w:id="0"/>
    </w:p>
    <w:p w14:paraId="4296183F">
      <w:pPr>
        <w:pStyle w:val="6"/>
        <w:bidi w:val="0"/>
        <w:rPr>
          <w:rFonts w:hint="eastAsia"/>
        </w:rPr>
      </w:pPr>
      <w:r>
        <w:rPr>
          <w:rFonts w:hint="eastAsia"/>
        </w:rPr>
        <w:t>二、项目完成情况</w:t>
      </w:r>
    </w:p>
    <w:p w14:paraId="77367AF1">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截至评价时点，园区内工程方面：真武阁建筑已完成主体结构和外立面装饰，正在进行内部装饰施工；康宁塔主体结构已完成70%；一期墓碑工程已全部完工；已完成6座景观桥和1处跌水景观建设；完成神道二道路混凝土浇筑103立方米；完成各类绿化种植226棵；完成预埋照明管501米、消防球墨铸铁管504米、给水管174米、灌溉管1239米；完成5个消防栓安装；完成一般道路建设925米。完成雨水井24个，预埋管道710.2米；污水井2座，管道埋设33.4米。</w:t>
      </w:r>
    </w:p>
    <w:p w14:paraId="4C4E127B">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园区外工程方面：完成三面围墙混凝土浇筑170立方米，砖砌长度500米，墙面贴砖2856平方米；泽厚北路工程完成机动车、非机动车车位混凝土垫层558立方米；完成人行道、机动车道、非机动车道铺装2320平方米；完成沥青铺设3514平方米；完成平石、路牙石铺装329.21平方米；完成各类绿化种植245棵；完成预埋照明管410米、弱电管709米、电力保护管280米；滨河北路已完成3.67公里建设。</w:t>
      </w:r>
    </w:p>
    <w:p w14:paraId="37313734">
      <w:pPr>
        <w:pStyle w:val="6"/>
        <w:bidi w:val="0"/>
        <w:rPr>
          <w:rFonts w:hint="eastAsia"/>
        </w:rPr>
      </w:pPr>
      <w:r>
        <w:rPr>
          <w:rFonts w:hint="eastAsia"/>
        </w:rPr>
        <w:t>三、绩效目标完成情况</w:t>
      </w:r>
    </w:p>
    <w:p w14:paraId="7CB7B97A">
      <w:pPr>
        <w:pStyle w:val="7"/>
        <w:bidi w:val="0"/>
        <w:rPr>
          <w:rFonts w:hint="eastAsia"/>
        </w:rPr>
      </w:pPr>
      <w:r>
        <w:rPr>
          <w:rFonts w:hint="eastAsia"/>
        </w:rPr>
        <w:t>（一）数量指标情况</w:t>
      </w:r>
    </w:p>
    <w:p w14:paraId="3C4DD1FB">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截至评价时点项目实际完成工程产值2569.84万元。根据施工计划至评价时点项目应当实现工程产值4938.93万元，项目实际完成率52.03%。</w:t>
      </w:r>
    </w:p>
    <w:p w14:paraId="3A8C4FAE">
      <w:pPr>
        <w:pStyle w:val="7"/>
        <w:bidi w:val="0"/>
        <w:rPr>
          <w:rFonts w:hint="eastAsia"/>
        </w:rPr>
      </w:pPr>
      <w:r>
        <w:rPr>
          <w:rFonts w:hint="eastAsia"/>
          <w:lang w:eastAsia="zh-CN"/>
        </w:rPr>
        <w:t>（</w:t>
      </w:r>
      <w:r>
        <w:rPr>
          <w:rFonts w:hint="eastAsia"/>
          <w:lang w:val="en-US" w:eastAsia="zh-CN"/>
        </w:rPr>
        <w:t>二</w:t>
      </w:r>
      <w:r>
        <w:rPr>
          <w:rFonts w:hint="eastAsia"/>
          <w:lang w:eastAsia="zh-CN"/>
        </w:rPr>
        <w:t>）</w:t>
      </w:r>
      <w:r>
        <w:rPr>
          <w:rFonts w:hint="eastAsia"/>
        </w:rPr>
        <w:t>质量指标情况</w:t>
      </w:r>
    </w:p>
    <w:p w14:paraId="24999845">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该项目未整体完工，但部分工程已竣工验收。各施工材料、工艺和工程产出均符合合同约定的质量要求，工程质量达标率100%。</w:t>
      </w:r>
    </w:p>
    <w:p w14:paraId="1CB3EECE">
      <w:pPr>
        <w:pStyle w:val="7"/>
        <w:bidi w:val="0"/>
        <w:rPr>
          <w:rFonts w:hint="eastAsia"/>
        </w:rPr>
      </w:pPr>
      <w:r>
        <w:rPr>
          <w:rFonts w:hint="eastAsia"/>
          <w:lang w:eastAsia="zh-CN"/>
        </w:rPr>
        <w:t>（</w:t>
      </w:r>
      <w:r>
        <w:rPr>
          <w:rFonts w:hint="eastAsia"/>
          <w:lang w:val="en-US" w:eastAsia="zh-CN"/>
        </w:rPr>
        <w:t>三</w:t>
      </w:r>
      <w:r>
        <w:rPr>
          <w:rFonts w:hint="eastAsia"/>
          <w:lang w:eastAsia="zh-CN"/>
        </w:rPr>
        <w:t>）</w:t>
      </w:r>
      <w:r>
        <w:rPr>
          <w:rFonts w:hint="eastAsia"/>
        </w:rPr>
        <w:t>时效指标情况</w:t>
      </w:r>
    </w:p>
    <w:p w14:paraId="4BEF06EB">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当前施工进度与合同约定的工程进度存在一定延误。</w:t>
      </w:r>
    </w:p>
    <w:p w14:paraId="02EAA144">
      <w:pPr>
        <w:pStyle w:val="7"/>
        <w:bidi w:val="0"/>
        <w:rPr>
          <w:rFonts w:hint="eastAsia"/>
        </w:rPr>
      </w:pPr>
      <w:r>
        <w:rPr>
          <w:rFonts w:hint="eastAsia"/>
          <w:lang w:eastAsia="zh-CN"/>
        </w:rPr>
        <w:t>（</w:t>
      </w:r>
      <w:r>
        <w:rPr>
          <w:rFonts w:hint="eastAsia"/>
          <w:lang w:val="en-US" w:eastAsia="zh-CN"/>
        </w:rPr>
        <w:t>四</w:t>
      </w:r>
      <w:r>
        <w:rPr>
          <w:rFonts w:hint="eastAsia"/>
          <w:lang w:eastAsia="zh-CN"/>
        </w:rPr>
        <w:t>）</w:t>
      </w:r>
      <w:r>
        <w:rPr>
          <w:rFonts w:hint="eastAsia"/>
        </w:rPr>
        <w:t>效益指标情况</w:t>
      </w:r>
    </w:p>
    <w:p w14:paraId="6EBA0F14">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项目建成后增加了公墓供给，提升了对殡葬服务的保障能力。项目建设过程中，施工企业及主要的劳务供应商和材料商为民权本地企业，项目为这些企业提供了订单，促进了群众就业。</w:t>
      </w:r>
    </w:p>
    <w:p w14:paraId="31A7E0F7">
      <w:pPr>
        <w:pStyle w:val="7"/>
        <w:bidi w:val="0"/>
        <w:rPr>
          <w:rFonts w:hint="eastAsia"/>
        </w:rPr>
      </w:pPr>
      <w:r>
        <w:rPr>
          <w:rFonts w:hint="eastAsia"/>
          <w:lang w:eastAsia="zh-CN"/>
        </w:rPr>
        <w:t>（</w:t>
      </w:r>
      <w:r>
        <w:rPr>
          <w:rFonts w:hint="eastAsia"/>
          <w:lang w:val="en-US" w:eastAsia="zh-CN"/>
        </w:rPr>
        <w:t>五</w:t>
      </w:r>
      <w:r>
        <w:rPr>
          <w:rFonts w:hint="eastAsia"/>
          <w:lang w:eastAsia="zh-CN"/>
        </w:rPr>
        <w:t>）</w:t>
      </w:r>
      <w:r>
        <w:rPr>
          <w:rFonts w:hint="eastAsia"/>
        </w:rPr>
        <w:t>满意度指标情况</w:t>
      </w:r>
    </w:p>
    <w:p w14:paraId="664D0D8C">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通过走访了解，</w:t>
      </w:r>
      <w:r>
        <w:rPr>
          <w:rFonts w:hint="eastAsia" w:ascii="Times New Roman" w:hAnsi="Times New Roman" w:eastAsia="仿宋_GB2312" w:cs="Times New Roman"/>
          <w:sz w:val="32"/>
          <w:szCs w:val="32"/>
          <w:lang w:val="en-US" w:eastAsia="zh-CN"/>
        </w:rPr>
        <w:t>辖区群众</w:t>
      </w:r>
      <w:r>
        <w:rPr>
          <w:rFonts w:hint="eastAsia"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民权县公益性公墓建设项目实施</w:t>
      </w:r>
      <w:r>
        <w:rPr>
          <w:rFonts w:hint="eastAsia" w:ascii="Times New Roman" w:hAnsi="Times New Roman" w:eastAsia="仿宋_GB2312" w:cs="Times New Roman"/>
          <w:sz w:val="32"/>
          <w:szCs w:val="32"/>
        </w:rPr>
        <w:t>较为满意。</w:t>
      </w:r>
      <w:r>
        <w:rPr>
          <w:rFonts w:hint="eastAsia" w:ascii="Times New Roman" w:hAnsi="Times New Roman" w:eastAsia="仿宋_GB2312" w:cs="Times New Roman"/>
          <w:sz w:val="32"/>
          <w:szCs w:val="32"/>
          <w:lang w:val="en-US" w:eastAsia="zh-CN"/>
        </w:rPr>
        <w:t>项目建成后将引导群众在统一地点进行安葬和祭奠活动，可以在减少因田间地头无序丧葬活动引发的火灾风险同时，有效降低传统安葬方式对耕地、山地、林地等环境的侵扰。</w:t>
      </w:r>
    </w:p>
    <w:p w14:paraId="5BEA5ECA">
      <w:pPr>
        <w:pStyle w:val="6"/>
        <w:bidi w:val="0"/>
        <w:rPr>
          <w:rFonts w:hint="eastAsia"/>
        </w:rPr>
      </w:pPr>
      <w:r>
        <w:rPr>
          <w:rFonts w:hint="eastAsia"/>
        </w:rPr>
        <w:t>四、资金投入与使用情况</w:t>
      </w:r>
    </w:p>
    <w:p w14:paraId="1B0AF725">
      <w:pPr>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民权县公益性公墓建设项目</w:t>
      </w:r>
      <w:r>
        <w:rPr>
          <w:rFonts w:hint="eastAsia" w:ascii="Times New Roman" w:hAnsi="Times New Roman" w:eastAsia="仿宋_GB2312" w:cs="Times New Roman"/>
          <w:sz w:val="32"/>
          <w:szCs w:val="32"/>
          <w:lang w:val="en-US" w:eastAsia="zh-CN"/>
        </w:rPr>
        <w:t>安排</w:t>
      </w:r>
      <w:r>
        <w:rPr>
          <w:rFonts w:hint="eastAsia" w:ascii="Times New Roman" w:hAnsi="Times New Roman" w:eastAsia="仿宋_GB2312" w:cs="Times New Roman"/>
          <w:sz w:val="32"/>
          <w:szCs w:val="32"/>
        </w:rPr>
        <w:t>预算资金</w:t>
      </w:r>
      <w:r>
        <w:rPr>
          <w:rFonts w:hint="eastAsia" w:ascii="Times New Roman" w:hAnsi="Times New Roman" w:eastAsia="仿宋_GB2312" w:cs="Times New Roman"/>
          <w:color w:val="auto"/>
          <w:sz w:val="32"/>
          <w:szCs w:val="32"/>
          <w:highlight w:val="none"/>
          <w:lang w:val="en-US" w:eastAsia="zh-CN"/>
        </w:rPr>
        <w:t>15000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，项目支出</w:t>
      </w:r>
      <w:r>
        <w:rPr>
          <w:rFonts w:hint="eastAsia" w:ascii="Times New Roman" w:hAnsi="Times New Roman" w:eastAsia="仿宋_GB2312" w:cs="Times New Roman"/>
          <w:sz w:val="32"/>
          <w:szCs w:val="32"/>
          <w:lang w:val="en-US" w:eastAsia="zh-CN"/>
        </w:rPr>
        <w:t>金额</w:t>
      </w:r>
      <w:r>
        <w:rPr>
          <w:rFonts w:hint="eastAsia" w:ascii="Times New Roman" w:hAnsi="Times New Roman" w:eastAsia="仿宋_GB2312" w:cs="Times New Roman"/>
          <w:color w:val="auto"/>
          <w:sz w:val="32"/>
          <w:szCs w:val="32"/>
          <w:highlight w:val="none"/>
          <w:lang w:val="en-US" w:eastAsia="zh-CN"/>
        </w:rPr>
        <w:t>2628.84</w:t>
      </w:r>
      <w:r>
        <w:rPr>
          <w:rFonts w:hint="eastAsia" w:ascii="Times New Roman" w:hAnsi="Times New Roman" w:eastAsia="仿宋_GB2312" w:cs="Times New Roman"/>
          <w:sz w:val="32"/>
          <w:szCs w:val="32"/>
          <w:lang w:eastAsia="zh-CN"/>
        </w:rPr>
        <w:t>万元。</w:t>
      </w:r>
    </w:p>
    <w:p w14:paraId="0E1EA897">
      <w:pPr>
        <w:pStyle w:val="6"/>
        <w:bidi w:val="0"/>
        <w:rPr>
          <w:rFonts w:hint="eastAsia"/>
        </w:rPr>
      </w:pPr>
      <w:r>
        <w:rPr>
          <w:rFonts w:hint="eastAsia"/>
        </w:rPr>
        <w:t>五、下步措施</w:t>
      </w:r>
    </w:p>
    <w:p w14:paraId="3008AC9E">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w:t>
      </w:r>
      <w:r>
        <w:rPr>
          <w:rFonts w:hint="eastAsia" w:ascii="Times New Roman" w:hAnsi="Times New Roman" w:eastAsia="仿宋_GB2312" w:cs="Times New Roman"/>
          <w:sz w:val="32"/>
          <w:szCs w:val="32"/>
        </w:rPr>
        <w:t>督促施工企业加快工期，确保项目按时完成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二是</w:t>
      </w:r>
      <w:r>
        <w:rPr>
          <w:rFonts w:hint="eastAsia" w:ascii="Times New Roman" w:hAnsi="Times New Roman" w:eastAsia="仿宋_GB2312" w:cs="Times New Roman"/>
          <w:sz w:val="32"/>
          <w:szCs w:val="32"/>
        </w:rPr>
        <w:t>加强业务水平，提高管理能力</w:t>
      </w:r>
      <w:r>
        <w:rPr>
          <w:rFonts w:hint="eastAsia" w:ascii="Times New Roman" w:hAnsi="Times New Roman" w:eastAsia="仿宋_GB2312" w:cs="Times New Roman"/>
          <w:sz w:val="32"/>
          <w:szCs w:val="32"/>
          <w:lang w:eastAsia="zh-CN"/>
        </w:rPr>
        <w:t>。</w:t>
      </w:r>
    </w:p>
    <w:p w14:paraId="7007C960">
      <w:pPr>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br w:type="page"/>
      </w:r>
    </w:p>
    <w:p w14:paraId="0157C3C1">
      <w:pPr>
        <w:pStyle w:val="2"/>
        <w:rPr>
          <w:rFonts w:hint="eastAsia"/>
          <w:lang w:val="en-US" w:eastAsia="zh-CN"/>
        </w:rPr>
      </w:pPr>
    </w:p>
    <w:p w14:paraId="074FDFFB">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民权县自然资源局</w:t>
      </w:r>
    </w:p>
    <w:p w14:paraId="21FBF91F">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2024年郑徐高铁两侧防护林占地补偿款项目绩效目标完成情况</w:t>
      </w:r>
    </w:p>
    <w:p w14:paraId="4A06F8DB">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一、项目基本情况</w:t>
      </w:r>
    </w:p>
    <w:p w14:paraId="2F350E9A">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（一）项目背景</w:t>
      </w:r>
    </w:p>
    <w:p w14:paraId="7B48EAA6">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郑徐高铁作为连接中原经济区与华东经济圈的重要铁路干线，不仅是区域经济协同发展的关键枢纽，其沿线生态环境质量更直接关系到铁路运行安全、区域生态平衡及沿线群众生活品质。为深入贯彻落实《中华人民共和国环境保护法》《中华人民共和国土地管理法》及国家铁路沿线生态廊道建设的相关政策要求，响应河南省“推进生态强省建设、打造沿黄生态保护示范带”的战略部署，郑徐高铁两侧防护林建设项目被列为区域生态修复重点工程。核心目标是通过在高铁沿线规划建设标准化防护林带，构建集生态防护、扬尘治理、噪声消减、景观美化于一体的绿色生态屏障，有效降低高铁运行产生的扬尘及噪声污染，改善沿线区域生态环境，降低风沙、暴雨等自然灾害对铁路设施的影响，保障高铁安全稳定运行，同时提升沿线乡村人居环境质量，增强区域水土保持能力，维护生态系统平衡，助力乡村生态振兴。</w:t>
      </w:r>
    </w:p>
    <w:p w14:paraId="3176F10C">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本次评价项目鉴于防护林的建设需占用沿线一定范围土地，为保障项目顺利推进，切实维护被征地农户的合法权益，依据《河南省人民政府关于公布实施河南省征地区片综合地价标准的通知》等地方配套政策，项目明确设立占地补偿款专项资金，对被征地农户给予合理经济补偿。本次评价项目资金涉及民权县的5个乡（镇、办事处）的土地征收，项目补偿资金由自然资源部门统筹管理并足额拨付至各乡镇，再由各乡镇牵头负责具体的补偿款发放工作。各乡镇需严格履行土地现状调查、补偿标准公示、农户信息核实、资金兑付等关键流程，确保补偿款精准、及时、合规发放至被征地主体手中。</w:t>
      </w:r>
    </w:p>
    <w:p w14:paraId="38A302DF">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本项目不仅是一项生态工程，更是一项民生工程。补偿款的规范发放，既为防护林建设提供了坚实的用地保障，推动生态廊道建设目标落地，也通过保障被征地农户的切身利益，化解征地潜在矛盾，促进农村社会和谐稳定，最终实现生态效益、社会效益与民生效益的有效统一。</w:t>
      </w:r>
    </w:p>
    <w:p w14:paraId="2DA5298A">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（二）政策目标</w:t>
      </w:r>
    </w:p>
    <w:p w14:paraId="237FAB88">
      <w:pPr>
        <w:bidi w:val="0"/>
        <w:adjustRightInd w:val="0"/>
        <w:snapToGrid w:val="0"/>
        <w:spacing w:line="56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2024年完成民权县5个乡（镇、办事处）郑徐高铁两侧防护林占地补偿款发放工作，及时兑付至被征地农户，保障被征地主体合法权益，为防护林建设筑牢用地基础，维护农村社会和谐稳定。</w:t>
      </w:r>
    </w:p>
    <w:p w14:paraId="49381CF1">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（三）政策内容</w:t>
      </w:r>
    </w:p>
    <w:p w14:paraId="00703078">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本项目围绕郑徐高铁两侧防护林建设征地补偿发放任务开展，以保障生态工程用地需求、维护被征地主体合法权益为目标，具体实施内容包括以下三个方面：</w:t>
      </w:r>
    </w:p>
    <w:p w14:paraId="3581AA16">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（1）征地范围与权属核定</w:t>
      </w:r>
    </w:p>
    <w:p w14:paraId="698A8AB2">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划定民权县5个乡（镇、办事处）内郑徐高铁沿线防护林建设所需土地范围，明确征收地块的权属性质，区分集体统一经营土地和农户承包经营土地两类类型，精准核实地块位置、地类、实测面积及权属人信息，为补偿款核算提供基础依据。</w:t>
      </w:r>
    </w:p>
    <w:p w14:paraId="6DD17767">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（2）补偿款专项资金管理与拨付</w:t>
      </w:r>
    </w:p>
    <w:p w14:paraId="7778AABB">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依据国家及河南省征地补偿相关政策，设立防护林占地补偿款专项资金，明确补偿费的核算标准；由自然资源局统筹专项资金，按各乡镇征地面积与补偿金额测算结果，足额拨付至乡镇财政账户，保障资金专款专用。</w:t>
      </w:r>
    </w:p>
    <w:p w14:paraId="4659CA91">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zh-CN"/>
        </w:rPr>
      </w:pPr>
      <w:r>
        <w:rPr>
          <w:rFonts w:hint="eastAsia" w:ascii="Times New Roman" w:hAnsi="Times New Roman" w:eastAsia="仿宋_GB2312" w:cs="Times New Roman"/>
          <w:color w:val="auto"/>
          <w:sz w:val="32"/>
          <w:szCs w:val="32"/>
          <w:highlight w:val="none"/>
          <w:lang w:val="zh-CN"/>
        </w:rPr>
        <w:t>（3）补偿款精准兑付与权益保障</w:t>
      </w:r>
    </w:p>
    <w:p w14:paraId="36F71CA8">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color w:val="auto"/>
          <w:sz w:val="32"/>
          <w:szCs w:val="32"/>
          <w:highlight w:val="none"/>
          <w:lang w:val="zh-CN"/>
        </w:rPr>
        <w:t>组织各乡镇完成补偿款发放的落地，向被征地农户及村集体精准兑付补偿资金；针对集体所有补偿款，指导村集体纳入“三资”管理并制定合规分配方案；同步开展补偿政策宣传、明细公示及异议处理工作，确保补偿过程公开透明，切实维护被征地主体利益，为防护林项目顺利落地提供用地保障。</w:t>
      </w:r>
    </w:p>
    <w:p w14:paraId="35FAF7BF">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二、项目完成情况</w:t>
      </w:r>
    </w:p>
    <w:p w14:paraId="2ACE4210">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highlight w:val="none"/>
          <w:lang w:val="en-US" w:eastAsia="zh-CN"/>
        </w:rPr>
        <w:t>本项目实际完成郑徐高铁两侧防护林3841.1615亩土地的补偿覆盖，惠及绿洲街道办事处、孙六镇等5个乡镇，较年初计划补偿面积3837亩增加4.1615亩，补偿覆盖完成率100.11%；所有应补偿农户均已完成补偿款兑付，发放完成率100%。发放按800元/亩的既定补偿标准逐户核算兑付金额，无擅自提高、降低标准或差异化执行情况，补偿标准合规率、补偿对象精准率均为100%；补偿款均在政策规定时限内完成发放，按时发放率100%。补偿款发放全程遵循“资金到账核对—农户信息核验—补偿金额核算—支付审批—批量兑付”的实操流程，各环节衔接有序，无流程缺失、跳步或越权操作情况；资金兑付通过银行批量转账直达农户个人账户，支付凭证完备、信息准确，未出现兑付差错。</w:t>
      </w:r>
    </w:p>
    <w:p w14:paraId="61BD7217">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三、绩效目标完成情况</w:t>
      </w:r>
    </w:p>
    <w:p w14:paraId="433BE2A8">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（一）数量指标情况</w:t>
      </w:r>
    </w:p>
    <w:p w14:paraId="6616A79B">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highlight w:val="none"/>
          <w:lang w:val="zh-CN"/>
        </w:rPr>
        <w:t>项目计划补偿土地面积为3837亩；同时核查绿洲街道办事处、野岗镇等5个乡镇提交的征地补偿明细表及面积核实资料，实际完成补偿的土地面积为3841.1615亩，覆盖了计划补偿地块全部面积</w:t>
      </w:r>
      <w:r>
        <w:rPr>
          <w:rFonts w:hint="eastAsia" w:ascii="Times New Roman" w:hAnsi="Times New Roman" w:eastAsia="仿宋_GB2312" w:cs="Times New Roman"/>
          <w:color w:val="auto"/>
          <w:sz w:val="32"/>
          <w:szCs w:val="32"/>
          <w:highlight w:val="none"/>
          <w:lang w:val="zh-CN" w:eastAsia="zh-CN"/>
        </w:rPr>
        <w:t>，项目应补偿人数为2469人，实际完成补偿发放的人数为2469人，所有应补偿农户均已纳入发放范围。</w:t>
      </w:r>
    </w:p>
    <w:p w14:paraId="19B812C5">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（二）质量指标情况</w:t>
      </w:r>
    </w:p>
    <w:p w14:paraId="2BAF74F8">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项目规定补偿标准为800元/亩；在实际执行过程中，均严格按照800元/亩的标准核算补偿金额。项目实际补偿农户总人数为2469人；其中所有实际获得补偿的农户均为权属合规的被征地主体，无错补、漏补或非权属主体获偿的情况。</w:t>
      </w:r>
    </w:p>
    <w:p w14:paraId="44C4ADE5">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（三）时效指标情况</w:t>
      </w:r>
    </w:p>
    <w:p w14:paraId="6167F835">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项目应补偿农户总人数为2469人；所有农户的补偿款均在政策规定的时限内完成发放，无逾期兑付的情况。</w:t>
      </w:r>
    </w:p>
    <w:p w14:paraId="30185BB9">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（四）效益指标情况</w:t>
      </w:r>
    </w:p>
    <w:p w14:paraId="24E57F0D">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color w:val="auto"/>
          <w:sz w:val="32"/>
          <w:szCs w:val="32"/>
          <w:highlight w:val="none"/>
          <w:lang w:val="zh-CN"/>
        </w:rPr>
        <w:t>2024年郑徐高铁两侧防护林占地补偿款项目</w:t>
      </w:r>
      <w:r>
        <w:rPr>
          <w:rFonts w:hint="eastAsia" w:ascii="Times New Roman" w:hAnsi="Times New Roman" w:eastAsia="仿宋_GB2312" w:cs="Times New Roman"/>
          <w:sz w:val="32"/>
          <w:szCs w:val="32"/>
        </w:rPr>
        <w:t>的实施保障被征地农户权益实现</w:t>
      </w:r>
      <w:r>
        <w:rPr>
          <w:rFonts w:hint="eastAsia" w:ascii="Times New Roman" w:hAnsi="Times New Roman" w:eastAsia="仿宋_GB2312" w:cs="Times New Roman"/>
          <w:color w:val="auto"/>
          <w:sz w:val="32"/>
          <w:szCs w:val="32"/>
          <w:highlight w:val="none"/>
        </w:rPr>
        <w:t>，减少征地矛盾发生，促进农村社会和谐稳定。</w:t>
      </w:r>
    </w:p>
    <w:p w14:paraId="0BC3E293">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（五）满意度指标情况</w:t>
      </w:r>
      <w:bookmarkStart w:id="1" w:name="_GoBack"/>
      <w:bookmarkEnd w:id="1"/>
    </w:p>
    <w:p w14:paraId="74E31A7F">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通过走访了解，</w:t>
      </w:r>
      <w:r>
        <w:rPr>
          <w:rFonts w:hint="eastAsia" w:ascii="Times New Roman" w:hAnsi="Times New Roman" w:eastAsia="仿宋_GB2312" w:cs="Times New Roman"/>
          <w:sz w:val="32"/>
          <w:szCs w:val="32"/>
          <w:lang w:val="en-US" w:eastAsia="zh-CN"/>
        </w:rPr>
        <w:t>周边群众对2024年郑徐高铁两侧防护林占地补偿款项目</w:t>
      </w:r>
      <w:r>
        <w:rPr>
          <w:rFonts w:hint="eastAsia" w:ascii="Times New Roman" w:hAnsi="Times New Roman" w:eastAsia="仿宋_GB2312" w:cs="Times New Roman"/>
          <w:color w:val="auto"/>
          <w:sz w:val="32"/>
          <w:szCs w:val="32"/>
          <w:highlight w:val="none"/>
          <w:lang w:val="en-US" w:eastAsia="zh-CN"/>
        </w:rPr>
        <w:t>实施</w:t>
      </w:r>
      <w:r>
        <w:rPr>
          <w:rFonts w:hint="eastAsia" w:ascii="Times New Roman" w:hAnsi="Times New Roman" w:eastAsia="仿宋_GB2312" w:cs="Times New Roman"/>
          <w:sz w:val="32"/>
          <w:szCs w:val="32"/>
          <w:lang w:val="en-US" w:eastAsia="zh-CN"/>
        </w:rPr>
        <w:t>较为满意。项目实施</w:t>
      </w:r>
      <w:r>
        <w:rPr>
          <w:rFonts w:hint="eastAsia" w:ascii="Times New Roman" w:hAnsi="Times New Roman" w:eastAsia="仿宋_GB2312" w:cs="Times New Roman"/>
          <w:color w:val="auto"/>
          <w:sz w:val="32"/>
          <w:szCs w:val="32"/>
          <w:highlight w:val="none"/>
        </w:rPr>
        <w:t>进一步保障被征地农户权益实现，减少征地矛盾发生，促进农村社会和谐稳定</w:t>
      </w:r>
      <w:r>
        <w:rPr>
          <w:rFonts w:hint="eastAsia" w:ascii="Times New Roman" w:hAnsi="Times New Roman" w:eastAsia="仿宋_GB2312" w:cs="Times New Roman"/>
          <w:color w:val="auto"/>
          <w:sz w:val="32"/>
          <w:szCs w:val="32"/>
          <w:highlight w:val="none"/>
          <w:lang w:eastAsia="zh-CN"/>
        </w:rPr>
        <w:t>。</w:t>
      </w:r>
    </w:p>
    <w:p w14:paraId="77433A2E">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四、资金投入与使用情况</w:t>
      </w:r>
    </w:p>
    <w:p w14:paraId="414A38F8">
      <w:pPr>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民权县自然资源局实施的</w:t>
      </w:r>
      <w:r>
        <w:rPr>
          <w:rFonts w:hint="eastAsia" w:ascii="Times New Roman" w:hAnsi="Times New Roman" w:eastAsia="仿宋_GB2312" w:cs="Times New Roman"/>
          <w:color w:val="auto"/>
          <w:sz w:val="32"/>
          <w:szCs w:val="32"/>
          <w:highlight w:val="none"/>
          <w:lang w:val="zh-CN"/>
        </w:rPr>
        <w:t>2024年郑徐高铁两侧防护林占地补偿款项目</w:t>
      </w:r>
      <w:r>
        <w:rPr>
          <w:rFonts w:hint="eastAsia" w:ascii="Times New Roman" w:hAnsi="Times New Roman" w:eastAsia="仿宋_GB2312" w:cs="Times New Roman"/>
          <w:sz w:val="32"/>
          <w:szCs w:val="32"/>
          <w:lang w:val="en-US" w:eastAsia="zh-CN"/>
        </w:rPr>
        <w:t>安排</w:t>
      </w:r>
      <w:r>
        <w:rPr>
          <w:rFonts w:hint="eastAsia" w:ascii="Times New Roman" w:hAnsi="Times New Roman" w:eastAsia="仿宋_GB2312" w:cs="Times New Roman"/>
          <w:sz w:val="32"/>
          <w:szCs w:val="32"/>
        </w:rPr>
        <w:t>预算资金</w:t>
      </w:r>
      <w:r>
        <w:rPr>
          <w:rFonts w:hint="eastAsia" w:ascii="Times New Roman" w:hAnsi="Times New Roman" w:eastAsia="仿宋_GB2312" w:cs="Times New Roman"/>
          <w:color w:val="auto"/>
          <w:sz w:val="32"/>
          <w:szCs w:val="32"/>
          <w:highlight w:val="none"/>
          <w:lang w:val="en-US" w:eastAsia="zh-CN"/>
        </w:rPr>
        <w:t>307.29</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，项目支出</w:t>
      </w:r>
      <w:r>
        <w:rPr>
          <w:rFonts w:hint="eastAsia" w:ascii="Times New Roman" w:hAnsi="Times New Roman" w:eastAsia="仿宋_GB2312" w:cs="Times New Roman"/>
          <w:color w:val="auto"/>
          <w:sz w:val="32"/>
          <w:szCs w:val="32"/>
          <w:highlight w:val="none"/>
          <w:lang w:val="en-US" w:eastAsia="zh-CN"/>
        </w:rPr>
        <w:t>307.29</w:t>
      </w:r>
      <w:r>
        <w:rPr>
          <w:rFonts w:hint="eastAsia" w:ascii="Times New Roman" w:hAnsi="Times New Roman" w:eastAsia="仿宋_GB2312" w:cs="Times New Roman"/>
          <w:sz w:val="32"/>
          <w:szCs w:val="32"/>
          <w:lang w:eastAsia="zh-CN"/>
        </w:rPr>
        <w:t>万元。</w:t>
      </w:r>
    </w:p>
    <w:p w14:paraId="16D7A492">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五、下步措施</w:t>
      </w:r>
    </w:p>
    <w:p w14:paraId="7119D0EB">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一是规范补偿信息公示流程；二是提升项目测算精准性；三是强化基层人员责任意识，规范补偿档案电子化管理。</w:t>
      </w:r>
    </w:p>
    <w:p w14:paraId="2F8618B6">
      <w:pPr>
        <w:rPr>
          <w:rFonts w:hint="default" w:eastAsiaTheme="minorEastAsia"/>
          <w:sz w:val="32"/>
          <w:szCs w:val="32"/>
          <w:lang w:val="en-US" w:eastAsia="zh-CN"/>
        </w:rPr>
      </w:pPr>
      <w:r>
        <w:rPr>
          <w:rFonts w:hint="default" w:eastAsiaTheme="minorEastAsia"/>
          <w:sz w:val="32"/>
          <w:szCs w:val="32"/>
          <w:lang w:val="en-US" w:eastAsia="zh-CN"/>
        </w:rPr>
        <w:br w:type="page"/>
      </w:r>
    </w:p>
    <w:p w14:paraId="20656492">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民权县市场监督管理局</w:t>
      </w:r>
    </w:p>
    <w:p w14:paraId="67567758">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食品安全检测检验费项目</w:t>
      </w:r>
    </w:p>
    <w:p w14:paraId="25574592">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绩效目标完成情况</w:t>
      </w:r>
    </w:p>
    <w:p w14:paraId="3C66E91C">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一、项目基本情况</w:t>
      </w:r>
    </w:p>
    <w:p w14:paraId="70A1204A">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（一）项目背景</w:t>
      </w:r>
    </w:p>
    <w:p w14:paraId="3F21A70E">
      <w:pPr>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食品安全是民生底线。近年来，随着食品产业规模化、多元化发展，以及消费升级背景下公众对“吃得安全、吃得放心”的需求持续提升，食品安全领域的风险场景日益复杂——从传统农兽药残留、微生物污染，到新型非法添加物（如西布曲明、工业明胶）、环境污染物（如塑化剂、多环芳烃），再到食品供应链中的交叉污染（如冷链食品新冠病毒外溢），均对检验检测能力</w:t>
      </w:r>
    </w:p>
    <w:p w14:paraId="610339E9">
      <w:pPr>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提出了“更精准、更快速、更全面”的要求。</w:t>
      </w:r>
    </w:p>
    <w:p w14:paraId="7B7D3DF8">
      <w:pPr>
        <w:adjustRightInd w:val="0"/>
        <w:snapToGrid w:val="0"/>
        <w:spacing w:line="560" w:lineRule="exact"/>
        <w:ind w:firstLine="640" w:firstLineChars="200"/>
        <w:rPr>
          <w:rFonts w:ascii="Times New Roman" w:hAnsi="Times New Roman" w:eastAsia="仿宋_GB2312" w:cs="Times New Roman"/>
          <w:color w:val="auto"/>
          <w:sz w:val="32"/>
          <w:szCs w:val="32"/>
          <w:highlight w:val="yellow"/>
          <w:lang w:val="zh-CN"/>
        </w:rPr>
      </w:pPr>
      <w:r>
        <w:rPr>
          <w:rFonts w:hint="eastAsia" w:ascii="Times New Roman" w:hAnsi="Times New Roman" w:eastAsia="仿宋_GB2312" w:cs="Times New Roman"/>
          <w:sz w:val="32"/>
          <w:szCs w:val="32"/>
        </w:rPr>
        <w:t>2021年修订的《中华人民共和国食品安全法》明确“国家建立食品安全风险监测和评估制度”，2023年国务院办公厅印发《“十四五”食品安全规划》，提出“强化基层食品安全检测能力，推动县级检测机构达到国家规定的能力要求”为贯彻落实《中华人民共和国食品安全法》《“十四五”食品安全规划》等政策，民权县市场监督管理局（以下简称“项目单位”）实施食品安全检测检验费项目。</w:t>
      </w:r>
    </w:p>
    <w:p w14:paraId="6976D8D6">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（二）政策目标</w:t>
      </w:r>
    </w:p>
    <w:p w14:paraId="3C847385">
      <w:pPr>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完成食品抽检工作，保障辖区食品健康安全。</w:t>
      </w:r>
    </w:p>
    <w:p w14:paraId="2E90D2A1">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（三）政策内容</w:t>
      </w:r>
    </w:p>
    <w:p w14:paraId="3315D41F">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color w:val="auto"/>
          <w:sz w:val="32"/>
          <w:szCs w:val="32"/>
          <w:highlight w:val="none"/>
          <w:lang w:val="en-US" w:eastAsia="zh-CN"/>
        </w:rPr>
        <w:t>项目单位依照《商丘市2024年食品安全抽样检测计划》《民权县市场监督管理局关于印发民权县2024年食品安全抽样检测计划的通知》，对民权县内农贸市场、集市、商店、超市、便利店等销售的食用农产品和“三小”食品进行抽检。抽检完成后把抽样结果数据上传至国家食品安全抽样检验信息系统。</w:t>
      </w:r>
    </w:p>
    <w:p w14:paraId="61C0AD7A">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二、项目完成情况</w:t>
      </w:r>
    </w:p>
    <w:p w14:paraId="189EAD07">
      <w:pPr>
        <w:bidi w:val="0"/>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2024年共开展1797批次抽检检测，其中第一季度294批次，第二季度668批次，第三季度514批次，第四季度321批次。</w:t>
      </w:r>
    </w:p>
    <w:p w14:paraId="47E5BABE">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highlight w:val="none"/>
          <w:lang w:val="en-US" w:eastAsia="zh-CN"/>
        </w:rPr>
        <w:t>从承检方来看，民权县产品质量安全检验检测中心共检测1334批次，委托检测机构检测463批次。从抽检结果来看，共抽检1797批次中，1759批次产品合格，38批次产品不合格，合格率为97.89%。</w:t>
      </w:r>
    </w:p>
    <w:p w14:paraId="1B308C1A">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三、绩效目标完成情况</w:t>
      </w:r>
    </w:p>
    <w:p w14:paraId="095958A4">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（一）数量指标情况</w:t>
      </w:r>
    </w:p>
    <w:p w14:paraId="38305EA6">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color w:val="auto"/>
          <w:sz w:val="32"/>
          <w:szCs w:val="32"/>
          <w:highlight w:val="none"/>
          <w:lang w:val="en-US" w:eastAsia="zh-CN"/>
        </w:rPr>
        <w:t>根据《民权县市场监督管理局关于印发民权县2024年食品安全抽样检测计划的通知》2024年计划抽检1800批次，实际抽检1797批次。2024年计划食用农产品抽检648批次，实际抽检762批次。2024年计划上传报告1800个，实际上传1797个。</w:t>
      </w:r>
    </w:p>
    <w:p w14:paraId="14B6BA0D">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（二）质量指标情况</w:t>
      </w:r>
    </w:p>
    <w:p w14:paraId="388B16CB">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highlight w:val="none"/>
          <w:lang w:val="en-US" w:eastAsia="zh-CN"/>
        </w:rPr>
        <w:t>上传检测检验报告均符合《食品安全抽样检验工作规范》的要求。</w:t>
      </w:r>
    </w:p>
    <w:p w14:paraId="1DCA31B4">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（三）时效指标情况</w:t>
      </w:r>
    </w:p>
    <w:p w14:paraId="58685AE5">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color w:val="auto"/>
          <w:sz w:val="32"/>
          <w:szCs w:val="32"/>
          <w:highlight w:val="none"/>
          <w:lang w:val="en-US" w:eastAsia="zh-CN"/>
        </w:rPr>
        <w:t>依据《食品安全抽样检测管理办法》，食品安全承检机构应自收到样品之日起20个工作日内出具检测报告，承检机构出具的1797个检验报告中，实际有1707个报告出具日期符合要求。</w:t>
      </w:r>
    </w:p>
    <w:p w14:paraId="65C57F96">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（四）效益指标情况</w:t>
      </w:r>
    </w:p>
    <w:p w14:paraId="3ABFE948">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rPr>
      </w:pPr>
      <w:r>
        <w:rPr>
          <w:rFonts w:hint="eastAsia" w:ascii="Times New Roman" w:hAnsi="Times New Roman" w:eastAsia="仿宋_GB2312" w:cs="Times New Roman"/>
          <w:color w:val="auto"/>
          <w:sz w:val="32"/>
          <w:szCs w:val="32"/>
          <w:highlight w:val="none"/>
          <w:lang w:val="zh-CN"/>
        </w:rPr>
        <w:t>食品安全检测检验费项目的实施，对全县范围内食品方面进行了常态化的安全抽样监测，各项指标值全部达到预期效果，及时消除了相关风险隐患，较好地保障了全县食品安全，提升了全县人民群众健康指数，带来了良好的经济效益和社会效益。</w:t>
      </w:r>
    </w:p>
    <w:p w14:paraId="68485099">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（五）满意度指标情况</w:t>
      </w:r>
    </w:p>
    <w:p w14:paraId="5EC4D879">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通过走访了解，</w:t>
      </w:r>
      <w:r>
        <w:rPr>
          <w:rFonts w:hint="eastAsia" w:ascii="Times New Roman" w:hAnsi="Times New Roman" w:eastAsia="仿宋_GB2312" w:cs="Times New Roman"/>
          <w:sz w:val="32"/>
          <w:szCs w:val="32"/>
          <w:lang w:val="en-US" w:eastAsia="zh-CN"/>
        </w:rPr>
        <w:t>辖区群众</w:t>
      </w:r>
      <w:r>
        <w:rPr>
          <w:rFonts w:hint="eastAsia"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食品安全检测检验费项目</w:t>
      </w:r>
      <w:r>
        <w:rPr>
          <w:rFonts w:hint="eastAsia" w:ascii="Times New Roman" w:hAnsi="Times New Roman" w:eastAsia="仿宋_GB2312" w:cs="Times New Roman"/>
          <w:sz w:val="32"/>
          <w:szCs w:val="32"/>
        </w:rPr>
        <w:t>较为满意。</w:t>
      </w:r>
      <w:r>
        <w:rPr>
          <w:rFonts w:hint="eastAsia" w:ascii="Times New Roman" w:hAnsi="Times New Roman" w:eastAsia="仿宋_GB2312" w:cs="Times New Roman"/>
          <w:sz w:val="32"/>
          <w:szCs w:val="32"/>
          <w:highlight w:val="none"/>
          <w:lang w:val="en-US" w:eastAsia="zh-CN"/>
        </w:rPr>
        <w:t>项目的实施，对全县范围内食品方面进行了常态化的安全抽样监测，各项指标值全部达到预期效果，及时消除了相关风险隐患，较好地保障了全县食品安全，提升了全县人民群众健康指数，带来了良好的经济效益和社会效益。</w:t>
      </w:r>
    </w:p>
    <w:p w14:paraId="4296CEAD">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四、资金投入与使用情况</w:t>
      </w:r>
    </w:p>
    <w:p w14:paraId="7C586B27">
      <w:pPr>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民权县市场监督管理局实施的食品安全检测检验费项目安排</w:t>
      </w:r>
      <w:r>
        <w:rPr>
          <w:rFonts w:hint="eastAsia" w:ascii="Times New Roman" w:hAnsi="Times New Roman" w:eastAsia="仿宋_GB2312" w:cs="Times New Roman"/>
          <w:sz w:val="32"/>
          <w:szCs w:val="32"/>
        </w:rPr>
        <w:t>预算资金</w:t>
      </w:r>
      <w:r>
        <w:rPr>
          <w:rFonts w:hint="eastAsia" w:ascii="Times New Roman" w:hAnsi="Times New Roman" w:eastAsia="仿宋_GB2312" w:cs="Times New Roman"/>
          <w:sz w:val="32"/>
          <w:szCs w:val="32"/>
          <w:lang w:val="en-US" w:eastAsia="zh-CN"/>
        </w:rPr>
        <w:t>135</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，项目支出</w:t>
      </w:r>
      <w:r>
        <w:rPr>
          <w:rFonts w:hint="eastAsia" w:ascii="Times New Roman" w:hAnsi="Times New Roman" w:eastAsia="仿宋_GB2312" w:cs="Times New Roman"/>
          <w:sz w:val="32"/>
          <w:szCs w:val="32"/>
          <w:lang w:val="en-US" w:eastAsia="zh-CN"/>
        </w:rPr>
        <w:t>125.89</w:t>
      </w:r>
      <w:r>
        <w:rPr>
          <w:rFonts w:hint="eastAsia" w:ascii="Times New Roman" w:hAnsi="Times New Roman" w:eastAsia="仿宋_GB2312" w:cs="Times New Roman"/>
          <w:sz w:val="32"/>
          <w:szCs w:val="32"/>
          <w:lang w:eastAsia="zh-CN"/>
        </w:rPr>
        <w:t>万元。</w:t>
      </w:r>
    </w:p>
    <w:p w14:paraId="71A665CA">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五、下步措施</w:t>
      </w:r>
    </w:p>
    <w:p w14:paraId="276B6B37">
      <w:pPr>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一是及时增加抽检批次；二是严格按照相关制度执行相关工作。</w:t>
      </w:r>
    </w:p>
    <w:p w14:paraId="65534E45">
      <w:pPr>
        <w:rPr>
          <w:rFonts w:hint="default"/>
          <w:lang w:val="en-US" w:eastAsia="zh-CN"/>
        </w:rPr>
      </w:pPr>
      <w:r>
        <w:rPr>
          <w:rFonts w:hint="default"/>
          <w:lang w:val="en-US" w:eastAsia="zh-CN"/>
        </w:rPr>
        <w:br w:type="page"/>
      </w:r>
    </w:p>
    <w:p w14:paraId="2619A3CD">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民权县城市管理局</w:t>
      </w:r>
    </w:p>
    <w:p w14:paraId="0920A961">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2024年路灯电费项目</w:t>
      </w:r>
    </w:p>
    <w:p w14:paraId="0226E52D">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绩效目标完成情况</w:t>
      </w:r>
    </w:p>
    <w:p w14:paraId="0DA62F17">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一、项目基本情况</w:t>
      </w:r>
    </w:p>
    <w:p w14:paraId="10D9D3C3">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（一）项目背景</w:t>
      </w:r>
    </w:p>
    <w:p w14:paraId="0F0D3CDE">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城市道路照明是城市道路的附属配套设施，主要是指在道路两侧或中央隔离带设置的灯杆、灯具、地上地下管线及照明附属设备等，在道路照度、亮度不足、能见度低时，为道路上的行车及行人补充适度的光照，以确保交通正常运行，并正确识别路况及各种交通标志。城市道路照明在改善道路交通照明条件、降低交通事故率、夜间犯罪率、提高居民安全感以及促进城市发展等方面发挥着不可替代的作用是一个城市实力和成熟程度的标志。</w:t>
      </w:r>
    </w:p>
    <w:p w14:paraId="2622C5BB">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为贯彻落实《河南省城市照明管理办法实施细则》《城市照明管理规定》等政策，并使道路照明的照度和亮度达到规定的</w:t>
      </w:r>
      <w:r>
        <w:rPr>
          <w:rFonts w:hint="eastAsia" w:ascii="Times New Roman" w:hAnsi="Times New Roman" w:eastAsia="仿宋_GB2312" w:cs="Times New Roman"/>
          <w:sz w:val="32"/>
          <w:szCs w:val="32"/>
          <w:lang w:eastAsia="zh-CN"/>
        </w:rPr>
        <w:t>标准</w:t>
      </w:r>
      <w:r>
        <w:rPr>
          <w:rFonts w:hint="eastAsia" w:ascii="Times New Roman" w:hAnsi="Times New Roman" w:eastAsia="仿宋_GB2312" w:cs="Times New Roman"/>
          <w:sz w:val="32"/>
          <w:szCs w:val="32"/>
        </w:rPr>
        <w:t>。民权县城市管理局申请2024年路灯电费资金，缴纳城区范围内路灯运行电费，使城区路灯亮灯率达到95%以上，确保市民的出行安全，美化市容。</w:t>
      </w:r>
    </w:p>
    <w:p w14:paraId="35A7404B">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（二）政策目标</w:t>
      </w:r>
    </w:p>
    <w:p w14:paraId="426F787D">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保障2024年电费支付完成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保障城区照明，为夜间出行市民提供安全保障。</w:t>
      </w:r>
    </w:p>
    <w:p w14:paraId="0234FA31">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（三）政策内容</w:t>
      </w:r>
    </w:p>
    <w:p w14:paraId="0ABBD4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仿宋_GB2312" w:cs="Times New Roman"/>
          <w:b w:val="0"/>
          <w:bCs w:val="0"/>
          <w:snapToGrid/>
          <w:kern w:val="2"/>
          <w:sz w:val="32"/>
          <w:szCs w:val="32"/>
          <w:lang w:val="en-US" w:eastAsia="zh-CN" w:bidi="ar-SA"/>
        </w:rPr>
      </w:pPr>
      <w:r>
        <w:rPr>
          <w:rFonts w:hint="eastAsia" w:ascii="Times New Roman" w:hAnsi="Times New Roman" w:eastAsia="仿宋_GB2312" w:cs="Times New Roman"/>
          <w:b w:val="0"/>
          <w:bCs w:val="0"/>
          <w:snapToGrid/>
          <w:kern w:val="2"/>
          <w:sz w:val="32"/>
          <w:szCs w:val="32"/>
          <w:lang w:val="en-US" w:eastAsia="zh-CN" w:bidi="ar-SA"/>
        </w:rPr>
        <w:t>项目单位每月支付41163盏路灯产生的电费，保障城区照明，为夜间出行市民提供安全保障。</w:t>
      </w:r>
    </w:p>
    <w:p w14:paraId="6BC165A2">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二、项目完成情况</w:t>
      </w:r>
    </w:p>
    <w:p w14:paraId="548FC36C">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2024年度民权县城区内路灯用电量为1205.91万度，为保障民权县城区范围内路灯照明设施的正常运作，项目单位共支付2024年12个月的路灯电费825.27万元</w:t>
      </w:r>
      <w:r>
        <w:rPr>
          <w:rFonts w:hint="eastAsia" w:ascii="Times New Roman" w:hAnsi="Times New Roman" w:eastAsia="仿宋_GB2312" w:cs="Times New Roman"/>
          <w:sz w:val="32"/>
          <w:szCs w:val="32"/>
          <w:lang w:eastAsia="zh-CN"/>
        </w:rPr>
        <w:t>。</w:t>
      </w:r>
    </w:p>
    <w:p w14:paraId="48D69F2E">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三、绩效目标完成情况</w:t>
      </w:r>
    </w:p>
    <w:p w14:paraId="30AA5706">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（一）数量指标情况</w:t>
      </w:r>
    </w:p>
    <w:p w14:paraId="15E076D5">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民权县城区内</w:t>
      </w:r>
      <w:r>
        <w:rPr>
          <w:rFonts w:hint="eastAsia" w:ascii="Times New Roman" w:hAnsi="Times New Roman" w:eastAsia="仿宋_GB2312" w:cs="Times New Roman"/>
          <w:sz w:val="32"/>
          <w:szCs w:val="32"/>
          <w:lang w:val="en-US" w:eastAsia="zh-CN"/>
        </w:rPr>
        <w:t>41163盏路灯12个月共用电1205.91万度，产生电费825.27万元，项目单位计划支付12个月电费，实际支付12个月份的电费。</w:t>
      </w:r>
    </w:p>
    <w:p w14:paraId="50386CC9">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（二）质量指标情况</w:t>
      </w:r>
    </w:p>
    <w:p w14:paraId="2F202600">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项目单位2024年支付12个月电费的发票、用电量统计等资料齐全，各月支付拨付均有完整的审批程序和手续，不存在错发漏发等情况。</w:t>
      </w:r>
    </w:p>
    <w:p w14:paraId="190CC4AB">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（三）时效指标情况</w:t>
      </w:r>
    </w:p>
    <w:p w14:paraId="25DB1A95">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Hans"/>
        </w:rPr>
        <w:t>电费支付计划在下个月前支付完成，实际2024年12个月份按时完成。</w:t>
      </w:r>
    </w:p>
    <w:p w14:paraId="5DC5D24F">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（四）效益指标情况</w:t>
      </w:r>
    </w:p>
    <w:p w14:paraId="49748C02">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2024年路灯电费项目</w:t>
      </w:r>
      <w:r>
        <w:rPr>
          <w:rFonts w:hint="eastAsia" w:ascii="Times New Roman" w:hAnsi="Times New Roman" w:eastAsia="仿宋_GB2312" w:cs="Times New Roman"/>
          <w:sz w:val="32"/>
          <w:szCs w:val="32"/>
          <w:lang w:val="en-US" w:eastAsia="zh-CN"/>
        </w:rPr>
        <w:t>的实施，满足居民出行需求，提升城市形象，提升公共安全。</w:t>
      </w:r>
    </w:p>
    <w:p w14:paraId="6C4C468F">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（五）满意度指标情况</w:t>
      </w:r>
    </w:p>
    <w:p w14:paraId="61F92DB8">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通过走访了解，</w:t>
      </w:r>
      <w:r>
        <w:rPr>
          <w:rFonts w:hint="eastAsia" w:ascii="Times New Roman" w:hAnsi="Times New Roman" w:eastAsia="仿宋_GB2312" w:cs="Times New Roman"/>
          <w:sz w:val="32"/>
          <w:szCs w:val="32"/>
          <w:lang w:val="en-US" w:eastAsia="zh-CN"/>
        </w:rPr>
        <w:t>辖区群众</w:t>
      </w:r>
      <w:r>
        <w:rPr>
          <w:rFonts w:hint="eastAsia"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2024年路灯电费项目实施</w:t>
      </w:r>
      <w:r>
        <w:rPr>
          <w:rFonts w:hint="eastAsia" w:ascii="Times New Roman" w:hAnsi="Times New Roman" w:eastAsia="仿宋_GB2312" w:cs="Times New Roman"/>
          <w:sz w:val="32"/>
          <w:szCs w:val="32"/>
        </w:rPr>
        <w:t>较为满意。</w:t>
      </w:r>
      <w:r>
        <w:rPr>
          <w:rFonts w:hint="eastAsia" w:ascii="Times New Roman" w:hAnsi="Times New Roman" w:eastAsia="仿宋_GB2312" w:cs="Times New Roman"/>
          <w:sz w:val="32"/>
          <w:szCs w:val="32"/>
          <w:lang w:val="en-US" w:eastAsia="zh-CN"/>
        </w:rPr>
        <w:t>项目的实施满足了居民出行需求，提升城市形象，提升公共安全。</w:t>
      </w:r>
    </w:p>
    <w:p w14:paraId="587B1DE1">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四、资金投入与使用情况</w:t>
      </w:r>
    </w:p>
    <w:p w14:paraId="63E6CFF9">
      <w:pPr>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民权县城市管理局实施的2024年路灯电费项目安排</w:t>
      </w:r>
      <w:r>
        <w:rPr>
          <w:rFonts w:hint="eastAsia" w:ascii="Times New Roman" w:hAnsi="Times New Roman" w:eastAsia="仿宋_GB2312" w:cs="Times New Roman"/>
          <w:sz w:val="32"/>
          <w:szCs w:val="32"/>
        </w:rPr>
        <w:t>预算资金</w:t>
      </w:r>
      <w:r>
        <w:rPr>
          <w:rFonts w:hint="eastAsia" w:ascii="Times New Roman" w:hAnsi="Times New Roman" w:eastAsia="仿宋" w:cs="Times New Roman"/>
          <w:sz w:val="32"/>
          <w:szCs w:val="32"/>
          <w:shd w:val="clear"/>
          <w:lang w:val="en-US" w:eastAsia="zh-CN"/>
        </w:rPr>
        <w:t>825.27</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，项目全年支出</w:t>
      </w:r>
      <w:r>
        <w:rPr>
          <w:rFonts w:hint="eastAsia" w:ascii="Times New Roman" w:hAnsi="Times New Roman" w:eastAsia="仿宋" w:cs="Times New Roman"/>
          <w:sz w:val="32"/>
          <w:szCs w:val="32"/>
          <w:shd w:val="clear"/>
          <w:lang w:val="en-US" w:eastAsia="zh-CN"/>
        </w:rPr>
        <w:t>825.27</w:t>
      </w:r>
      <w:r>
        <w:rPr>
          <w:rFonts w:hint="eastAsia" w:ascii="Times New Roman" w:hAnsi="Times New Roman" w:eastAsia="仿宋_GB2312" w:cs="Times New Roman"/>
          <w:sz w:val="32"/>
          <w:szCs w:val="32"/>
          <w:lang w:eastAsia="zh-CN"/>
        </w:rPr>
        <w:t>万元。</w:t>
      </w:r>
    </w:p>
    <w:p w14:paraId="324F094B">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五、下步措施</w:t>
      </w:r>
    </w:p>
    <w:p w14:paraId="0FD51DBF">
      <w:pPr>
        <w:bidi w:val="0"/>
        <w:adjustRightInd w:val="0"/>
        <w:snapToGrid w:val="0"/>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一是建立专项资金管理办法；二是及时签订合同，保障双方合法权益。</w:t>
      </w:r>
    </w:p>
    <w:p w14:paraId="62169403">
      <w:pP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br w:type="page"/>
      </w:r>
    </w:p>
    <w:p w14:paraId="0E1042B0">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中共民权县委宣传部</w:t>
      </w:r>
    </w:p>
    <w:p w14:paraId="6FE2C0FC">
      <w:pPr>
        <w:widowControl w:val="0"/>
        <w:bidi w:val="0"/>
        <w:adjustRightInd w:val="0"/>
        <w:snapToGrid w:val="0"/>
        <w:spacing w:line="560" w:lineRule="exact"/>
        <w:ind w:firstLine="0" w:firstLineChars="0"/>
        <w:jc w:val="center"/>
        <w:outlineLvl w:val="9"/>
        <w:rPr>
          <w:rFonts w:hint="eastAsia" w:ascii="Times New Roman" w:hAnsi="Times New Roman" w:eastAsia="仿宋_GB2312" w:cs="Times New Roman"/>
          <w:b/>
          <w:bCs/>
          <w:snapToGrid w:val="0"/>
          <w:kern w:val="0"/>
          <w:sz w:val="44"/>
          <w:szCs w:val="44"/>
          <w:lang w:val="en-US" w:eastAsia="zh-CN" w:bidi="ar-SA"/>
        </w:rPr>
      </w:pPr>
      <w:r>
        <w:rPr>
          <w:rFonts w:hint="eastAsia" w:ascii="Times New Roman" w:hAnsi="Times New Roman" w:eastAsia="仿宋_GB2312" w:cs="Times New Roman"/>
          <w:b/>
          <w:bCs/>
          <w:snapToGrid w:val="0"/>
          <w:kern w:val="0"/>
          <w:sz w:val="44"/>
          <w:szCs w:val="44"/>
          <w:lang w:val="en-US" w:eastAsia="zh-CN" w:bidi="ar-SA"/>
        </w:rPr>
        <w:t>中共民权县委宣传部一般公务用车购置费项目绩效目标完成情况</w:t>
      </w:r>
    </w:p>
    <w:p w14:paraId="2331BB7D">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一、项目基本情况</w:t>
      </w:r>
    </w:p>
    <w:p w14:paraId="37549E44">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（一）项目背景</w:t>
      </w:r>
    </w:p>
    <w:p w14:paraId="27C07C91">
      <w:pPr>
        <w:bidi w:val="0"/>
        <w:adjustRightInd w:val="0"/>
        <w:snapToGrid w:val="0"/>
        <w:spacing w:line="56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2014年中央启动全国公务用车制度改革，核心目标是“管住增量、压减存量、遏制车轮上的腐败”。改革后，各地编制大幅压缩。民权县作为商丘地区经济、文化发展较为突出县级区，厉行节约严控公车数量和支出落实中央公务用车制度改革目标，非必要不新增。</w:t>
      </w:r>
    </w:p>
    <w:p w14:paraId="1CC43C03">
      <w:pPr>
        <w:bidi w:val="0"/>
        <w:adjustRightInd w:val="0"/>
        <w:snapToGrid w:val="0"/>
        <w:spacing w:line="56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共民权县委宣传部（以下简称“项目单位”）作为民权县宣传工作主管部门，在突发事件应急响应、基层理论宣讲与文化惠民、媒体接待与采访保障、意识形态阵地巡查、特殊拍摄及其他公务中需要一定数量的公务用车保障履职。项目单位保有的一辆新闻采集车使用年限和里程已达处置标准，其维修经济性几近为零，频繁故障和机械问题对部门工作产生了不良影响，需购置一辆新车满足工作需要。</w:t>
      </w:r>
    </w:p>
    <w:p w14:paraId="11C3A5A7">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highlight w:val="none"/>
          <w:lang w:val="en-US" w:eastAsia="zh-CN"/>
        </w:rPr>
        <w:t>按照《党政机关公务用车管理办法》第八条，宣传部门作为党委工作机关，其“应急保障用车”和“特种专业技术用车”可分别核定编制。项目单位落实中央公务用车制度改革目标采购一辆新闻采集车兼顾日常行政使用。</w:t>
      </w:r>
    </w:p>
    <w:p w14:paraId="4A523139">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（二）政策目标</w:t>
      </w:r>
    </w:p>
    <w:p w14:paraId="7644ECFF">
      <w:pPr>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完成</w:t>
      </w:r>
      <w:r>
        <w:rPr>
          <w:rFonts w:hint="eastAsia" w:ascii="仿宋_GB2312" w:hAnsi="仿宋_GB2312" w:eastAsia="仿宋_GB2312" w:cs="仿宋_GB2312"/>
          <w:color w:val="auto"/>
          <w:sz w:val="32"/>
          <w:szCs w:val="32"/>
          <w:highlight w:val="none"/>
        </w:rPr>
        <w:t>公务用车购置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提升职工工作效率</w:t>
      </w:r>
    </w:p>
    <w:p w14:paraId="6F564E35">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（三）政策内容</w:t>
      </w:r>
    </w:p>
    <w:p w14:paraId="1897FAE7">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仿宋_GB2312" w:hAnsi="仿宋_GB2312" w:eastAsia="仿宋_GB2312" w:cs="仿宋_GB2312"/>
          <w:color w:val="auto"/>
          <w:sz w:val="32"/>
          <w:szCs w:val="32"/>
          <w:highlight w:val="none"/>
          <w:lang w:val="en-US" w:eastAsia="zh-CN"/>
        </w:rPr>
        <w:t>按照公车配备有关规定，采购公车一辆。</w:t>
      </w:r>
    </w:p>
    <w:p w14:paraId="7233D7D6">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二、项目完成情况</w:t>
      </w:r>
    </w:p>
    <w:p w14:paraId="2F67436A">
      <w:pPr>
        <w:keepNext w:val="0"/>
        <w:keepLines w:val="0"/>
        <w:pageBreakBefore w:val="0"/>
        <w:widowControl/>
        <w:suppressLineNumbers w:val="0"/>
        <w:kinsoku/>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highlight w:val="none"/>
          <w:lang w:val="zh-CN" w:eastAsia="zh-CN"/>
        </w:rPr>
        <w:t>购置公车一辆，质量合格。价格、参数符合公车配备有关规定。</w:t>
      </w:r>
    </w:p>
    <w:p w14:paraId="13398C83">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三、绩效目标完成情况</w:t>
      </w:r>
    </w:p>
    <w:p w14:paraId="1DF2D93F">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（一）数量指标情况</w:t>
      </w:r>
    </w:p>
    <w:p w14:paraId="21B9FA59">
      <w:pPr>
        <w:keepNext w:val="0"/>
        <w:keepLines w:val="0"/>
        <w:pageBreakBefore w:val="0"/>
        <w:widowControl/>
        <w:suppressLineNumbers w:val="0"/>
        <w:kinsoku/>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项目计划购置车辆一台，实际购置一台，车辆品牌、型号、参数与合同一致。</w:t>
      </w:r>
    </w:p>
    <w:p w14:paraId="3C4ED952">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（二）质量指标情况</w:t>
      </w:r>
    </w:p>
    <w:p w14:paraId="33962C70">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车辆铭牌及出厂合格证显示该车符合国家机动车质量相关规定，到位后至评价时段未发生重大质量问题或隐患。</w:t>
      </w:r>
    </w:p>
    <w:p w14:paraId="57BE4BA2">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（三）时效指标情况</w:t>
      </w:r>
    </w:p>
    <w:p w14:paraId="176A78AF">
      <w:pPr>
        <w:bidi w:val="0"/>
        <w:adjustRightInd w:val="0"/>
        <w:snapToGri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highlight w:val="none"/>
          <w:lang w:val="en-US" w:eastAsia="zh-CN"/>
        </w:rPr>
        <w:t>项目合同约定车辆到店3日内项目单位提车，项目单位在经销商通知车辆到店后3日内完成提车，并在国家规定时限内到车管所备案并完成上牌登记。</w:t>
      </w:r>
    </w:p>
    <w:p w14:paraId="0F645762">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（四）效益指标情况</w:t>
      </w:r>
    </w:p>
    <w:p w14:paraId="4FBE0839">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车辆到位后公车使用期间维护状态良好，提升职工工作效率。</w:t>
      </w:r>
    </w:p>
    <w:p w14:paraId="06B34863">
      <w:pPr>
        <w:widowControl w:val="0"/>
        <w:bidi w:val="0"/>
        <w:adjustRightInd w:val="0"/>
        <w:snapToGrid w:val="0"/>
        <w:spacing w:line="640" w:lineRule="exact"/>
        <w:ind w:firstLine="643" w:firstLineChars="200"/>
        <w:jc w:val="left"/>
        <w:outlineLvl w:val="1"/>
        <w:rPr>
          <w:rFonts w:hint="eastAsia" w:ascii="Times New Roman" w:hAnsi="Times New Roman" w:eastAsia="楷体_GB2312" w:cs="Times New Roman"/>
          <w:b/>
          <w:bCs/>
          <w:snapToGrid w:val="0"/>
          <w:kern w:val="0"/>
          <w:sz w:val="32"/>
          <w:szCs w:val="32"/>
          <w:lang w:val="en-US" w:eastAsia="zh-CN" w:bidi="ar-SA"/>
        </w:rPr>
      </w:pPr>
      <w:r>
        <w:rPr>
          <w:rFonts w:hint="eastAsia" w:ascii="Times New Roman" w:hAnsi="Times New Roman" w:eastAsia="楷体_GB2312" w:cs="Times New Roman"/>
          <w:b/>
          <w:bCs/>
          <w:snapToGrid w:val="0"/>
          <w:kern w:val="0"/>
          <w:sz w:val="32"/>
          <w:szCs w:val="32"/>
          <w:lang w:val="en-US" w:eastAsia="zh-CN" w:bidi="ar-SA"/>
        </w:rPr>
        <w:t>（五）满意度指标情况</w:t>
      </w:r>
    </w:p>
    <w:p w14:paraId="331CBC7C">
      <w:pPr>
        <w:bidi w:val="0"/>
        <w:adjustRightInd w:val="0"/>
        <w:snapToGrid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color w:val="auto"/>
          <w:sz w:val="32"/>
          <w:szCs w:val="32"/>
          <w:highlight w:val="none"/>
          <w:lang w:val="en-US" w:eastAsia="zh-CN"/>
        </w:rPr>
        <w:t>通过走访了解，单位人员对一般公务用车购置费项目较为满意。项目的实施，提升职工工作效率。</w:t>
      </w:r>
    </w:p>
    <w:p w14:paraId="6AC95390">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四、资金投入与使用情况</w:t>
      </w:r>
    </w:p>
    <w:p w14:paraId="6F7A03B0">
      <w:pPr>
        <w:bidi w:val="0"/>
        <w:adjustRightInd w:val="0"/>
        <w:snapToGrid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中共民权县委宣传部一般公务用车购置费项目</w:t>
      </w:r>
      <w:r>
        <w:rPr>
          <w:rFonts w:hint="eastAsia" w:ascii="Times New Roman" w:hAnsi="Times New Roman" w:eastAsia="仿宋_GB2312" w:cs="Times New Roman"/>
          <w:sz w:val="32"/>
          <w:szCs w:val="32"/>
          <w:highlight w:val="none"/>
          <w:lang w:eastAsia="zh-CN"/>
        </w:rPr>
        <w:t>总投资估算为11.98</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highlight w:val="none"/>
          <w:lang w:eastAsia="zh-CN"/>
        </w:rPr>
        <w:t>实际到位</w:t>
      </w:r>
      <w:r>
        <w:rPr>
          <w:rFonts w:hint="eastAsia" w:ascii="Times New Roman" w:hAnsi="Times New Roman" w:eastAsia="仿宋_GB2312" w:cs="Times New Roman"/>
          <w:sz w:val="32"/>
          <w:szCs w:val="32"/>
          <w:highlight w:val="none"/>
          <w:lang w:val="en-US" w:eastAsia="zh-CN"/>
        </w:rPr>
        <w:t>11.98</w:t>
      </w:r>
      <w:r>
        <w:rPr>
          <w:rFonts w:hint="eastAsia"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rPr>
        <w:t>执行金额</w:t>
      </w:r>
      <w:r>
        <w:rPr>
          <w:rFonts w:hint="eastAsia" w:ascii="Times New Roman" w:hAnsi="Times New Roman" w:eastAsia="仿宋_GB2312" w:cs="Times New Roman"/>
          <w:sz w:val="32"/>
          <w:szCs w:val="32"/>
          <w:highlight w:val="none"/>
          <w:lang w:eastAsia="zh-CN"/>
        </w:rPr>
        <w:t>11.98</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0947AF12">
      <w:pPr>
        <w:widowControl w:val="0"/>
        <w:bidi w:val="0"/>
        <w:adjustRightInd w:val="0"/>
        <w:snapToGrid w:val="0"/>
        <w:spacing w:line="640" w:lineRule="exact"/>
        <w:ind w:firstLine="643" w:firstLineChars="200"/>
        <w:jc w:val="left"/>
        <w:outlineLvl w:val="0"/>
        <w:rPr>
          <w:rFonts w:hint="eastAsia" w:ascii="Times New Roman" w:hAnsi="Times New Roman" w:eastAsia="黑体" w:cs="Times New Roman"/>
          <w:b/>
          <w:bCs/>
          <w:snapToGrid w:val="0"/>
          <w:kern w:val="0"/>
          <w:sz w:val="32"/>
          <w:szCs w:val="32"/>
          <w:lang w:val="en-US" w:eastAsia="zh-CN" w:bidi="ar-SA"/>
        </w:rPr>
      </w:pPr>
      <w:r>
        <w:rPr>
          <w:rFonts w:hint="eastAsia" w:ascii="Times New Roman" w:hAnsi="Times New Roman" w:eastAsia="黑体" w:cs="Times New Roman"/>
          <w:b/>
          <w:bCs/>
          <w:snapToGrid w:val="0"/>
          <w:kern w:val="0"/>
          <w:sz w:val="32"/>
          <w:szCs w:val="32"/>
          <w:lang w:val="en-US" w:eastAsia="zh-CN" w:bidi="ar-SA"/>
        </w:rPr>
        <w:t>五、下步措施</w:t>
      </w:r>
    </w:p>
    <w:p w14:paraId="0F209DFE">
      <w:pPr>
        <w:bidi w:val="0"/>
        <w:adjustRightInd w:val="0"/>
        <w:snapToGrid w:val="0"/>
        <w:spacing w:line="560" w:lineRule="exact"/>
        <w:ind w:firstLine="640" w:firstLineChars="200"/>
        <w:rPr>
          <w:rFonts w:hint="default"/>
          <w:lang w:val="en-US" w:eastAsia="zh-CN"/>
        </w:rPr>
      </w:pPr>
      <w:r>
        <w:rPr>
          <w:rFonts w:hint="eastAsia" w:ascii="Times New Roman" w:hAnsi="Times New Roman" w:eastAsia="仿宋_GB2312" w:cs="Times New Roman"/>
          <w:sz w:val="32"/>
          <w:szCs w:val="32"/>
        </w:rPr>
        <w:t>一是加强政策、法规学习；二是完善公车管理制度，堵住台账记录漏洞；三是加强预算管理制度学习、</w:t>
      </w:r>
      <w:r>
        <w:rPr>
          <w:rFonts w:hint="eastAsia" w:ascii="Times New Roman" w:hAnsi="Times New Roman" w:eastAsia="仿宋_GB2312" w:cs="Times New Roman"/>
          <w:sz w:val="32"/>
          <w:szCs w:val="32"/>
          <w:lang w:eastAsia="zh-CN"/>
        </w:rPr>
        <w:t>增强</w:t>
      </w:r>
      <w:r>
        <w:rPr>
          <w:rFonts w:hint="eastAsia" w:ascii="Times New Roman" w:hAnsi="Times New Roman" w:eastAsia="仿宋_GB2312" w:cs="Times New Roman"/>
          <w:sz w:val="32"/>
          <w:szCs w:val="32"/>
        </w:rPr>
        <w:t>支出责任意识。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4"/>
      <w:lvlText w:val="第%1章　"/>
      <w:lvlJc w:val="left"/>
      <w:pPr>
        <w:tabs>
          <w:tab w:val="left" w:pos="1440"/>
        </w:tabs>
        <w:ind w:left="1470" w:hanging="720"/>
      </w:pPr>
      <w:rPr>
        <w:rFonts w:hint="eastAsia" w:cs="Times New Roman"/>
        <w:sz w:val="32"/>
      </w:rPr>
    </w:lvl>
    <w:lvl w:ilvl="1" w:tentative="0">
      <w:start w:val="1"/>
      <w:numFmt w:val="lowerRoman"/>
      <w:lvlText w:val="(%2)"/>
      <w:lvlJc w:val="left"/>
      <w:pPr>
        <w:tabs>
          <w:tab w:val="left" w:pos="861"/>
        </w:tabs>
        <w:ind w:left="1611" w:hanging="720"/>
      </w:pPr>
      <w:rPr>
        <w:rFonts w:hint="eastAsia" w:cs="Times New Roman"/>
      </w:rPr>
    </w:lvl>
    <w:lvl w:ilvl="2" w:tentative="0">
      <w:start w:val="1"/>
      <w:numFmt w:val="lowerLetter"/>
      <w:lvlText w:val="(%3)"/>
      <w:lvlJc w:val="left"/>
      <w:pPr>
        <w:tabs>
          <w:tab w:val="left" w:pos="1335"/>
        </w:tabs>
        <w:ind w:left="2085" w:hanging="495"/>
      </w:pPr>
      <w:rPr>
        <w:rFonts w:hint="eastAsia" w:cs="Times New Roman"/>
      </w:rPr>
    </w:lvl>
    <w:lvl w:ilvl="3" w:tentative="0">
      <w:start w:val="1"/>
      <w:numFmt w:val="decimal"/>
      <w:lvlText w:val="%4."/>
      <w:lvlJc w:val="left"/>
      <w:pPr>
        <w:tabs>
          <w:tab w:val="left" w:pos="1680"/>
        </w:tabs>
        <w:ind w:left="2430" w:hanging="420"/>
      </w:pPr>
      <w:rPr>
        <w:rFonts w:cs="Times New Roman"/>
      </w:rPr>
    </w:lvl>
    <w:lvl w:ilvl="4" w:tentative="0">
      <w:start w:val="1"/>
      <w:numFmt w:val="lowerLetter"/>
      <w:lvlText w:val="%5)"/>
      <w:lvlJc w:val="left"/>
      <w:pPr>
        <w:tabs>
          <w:tab w:val="left" w:pos="2100"/>
        </w:tabs>
        <w:ind w:left="2850" w:hanging="420"/>
      </w:pPr>
      <w:rPr>
        <w:rFonts w:cs="Times New Roman"/>
      </w:rPr>
    </w:lvl>
    <w:lvl w:ilvl="5" w:tentative="0">
      <w:start w:val="1"/>
      <w:numFmt w:val="lowerRoman"/>
      <w:lvlText w:val="%6."/>
      <w:lvlJc w:val="right"/>
      <w:pPr>
        <w:tabs>
          <w:tab w:val="left" w:pos="2520"/>
        </w:tabs>
        <w:ind w:left="3270" w:hanging="420"/>
      </w:pPr>
      <w:rPr>
        <w:rFonts w:cs="Times New Roman"/>
      </w:rPr>
    </w:lvl>
    <w:lvl w:ilvl="6" w:tentative="0">
      <w:start w:val="1"/>
      <w:numFmt w:val="decimal"/>
      <w:lvlText w:val="%7."/>
      <w:lvlJc w:val="left"/>
      <w:pPr>
        <w:tabs>
          <w:tab w:val="left" w:pos="2940"/>
        </w:tabs>
        <w:ind w:left="3690" w:hanging="420"/>
      </w:pPr>
      <w:rPr>
        <w:rFonts w:cs="Times New Roman"/>
      </w:rPr>
    </w:lvl>
    <w:lvl w:ilvl="7" w:tentative="0">
      <w:start w:val="1"/>
      <w:numFmt w:val="lowerLetter"/>
      <w:lvlText w:val="%8)"/>
      <w:lvlJc w:val="left"/>
      <w:pPr>
        <w:tabs>
          <w:tab w:val="left" w:pos="3360"/>
        </w:tabs>
        <w:ind w:left="4110" w:hanging="420"/>
      </w:pPr>
      <w:rPr>
        <w:rFonts w:cs="Times New Roman"/>
      </w:rPr>
    </w:lvl>
    <w:lvl w:ilvl="8" w:tentative="0">
      <w:start w:val="1"/>
      <w:numFmt w:val="lowerRoman"/>
      <w:lvlText w:val="%9."/>
      <w:lvlJc w:val="right"/>
      <w:pPr>
        <w:tabs>
          <w:tab w:val="left" w:pos="3780"/>
        </w:tabs>
        <w:ind w:left="4530" w:hanging="420"/>
      </w:pPr>
      <w:rPr>
        <w:rFonts w:cs="Times New Roman"/>
      </w:rPr>
    </w:lvl>
  </w:abstractNum>
  <w:abstractNum w:abstractNumId="1">
    <w:nsid w:val="4FF7374F"/>
    <w:multiLevelType w:val="singleLevel"/>
    <w:tmpl w:val="4FF7374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1OTAwNTQ1NGNlMjJhODJiN2M1ZGJlN2ZmMjExMzIifQ=="/>
  </w:docVars>
  <w:rsids>
    <w:rsidRoot w:val="00000000"/>
    <w:rsid w:val="03377571"/>
    <w:rsid w:val="05F4615F"/>
    <w:rsid w:val="07047AB3"/>
    <w:rsid w:val="14954A54"/>
    <w:rsid w:val="31D85A19"/>
    <w:rsid w:val="41153D55"/>
    <w:rsid w:val="41B50604"/>
    <w:rsid w:val="64B6552B"/>
    <w:rsid w:val="7C613FA2"/>
    <w:rsid w:val="7FA53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next w:val="1"/>
    <w:qFormat/>
    <w:uiPriority w:val="0"/>
    <w:pPr>
      <w:widowControl w:val="0"/>
      <w:adjustRightInd w:val="0"/>
      <w:snapToGrid w:val="0"/>
      <w:spacing w:line="640" w:lineRule="exact"/>
      <w:ind w:firstLine="880" w:firstLineChars="200"/>
      <w:jc w:val="left"/>
      <w:outlineLvl w:val="0"/>
    </w:pPr>
    <w:rPr>
      <w:rFonts w:ascii="Times New Roman" w:hAnsi="Times New Roman" w:eastAsia="黑体" w:cs="Times New Roman"/>
      <w:b/>
      <w:bCs/>
      <w:snapToGrid w:val="0"/>
      <w:kern w:val="0"/>
      <w:sz w:val="32"/>
      <w:szCs w:val="32"/>
      <w:lang w:val="en-US" w:eastAsia="zh-CN" w:bidi="ar-SA"/>
    </w:rPr>
  </w:style>
  <w:style w:type="paragraph" w:styleId="7">
    <w:name w:val="heading 2"/>
    <w:next w:val="1"/>
    <w:autoRedefine/>
    <w:unhideWhenUsed/>
    <w:qFormat/>
    <w:uiPriority w:val="0"/>
    <w:pPr>
      <w:widowControl w:val="0"/>
      <w:adjustRightInd w:val="0"/>
      <w:snapToGrid w:val="0"/>
      <w:spacing w:line="640" w:lineRule="exact"/>
      <w:ind w:firstLine="880" w:firstLineChars="200"/>
      <w:jc w:val="left"/>
      <w:outlineLvl w:val="1"/>
    </w:pPr>
    <w:rPr>
      <w:rFonts w:ascii="Times New Roman" w:hAnsi="Times New Roman" w:eastAsia="楷体_GB2312" w:cs="Times New Roman"/>
      <w:b/>
      <w:bCs/>
      <w:snapToGrid w:val="0"/>
      <w:kern w:val="0"/>
      <w:sz w:val="32"/>
      <w:szCs w:val="32"/>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style>
  <w:style w:type="paragraph" w:styleId="3">
    <w:name w:val="Body Text"/>
    <w:basedOn w:val="1"/>
    <w:next w:val="4"/>
    <w:autoRedefine/>
    <w:qFormat/>
    <w:uiPriority w:val="0"/>
    <w:pPr>
      <w:spacing w:after="120" w:afterLines="0" w:afterAutospacing="0"/>
    </w:pPr>
  </w:style>
  <w:style w:type="paragraph" w:styleId="4">
    <w:name w:val="Body Text 2"/>
    <w:autoRedefine/>
    <w:qFormat/>
    <w:uiPriority w:val="99"/>
    <w:pPr>
      <w:widowControl w:val="0"/>
      <w:numPr>
        <w:ilvl w:val="0"/>
        <w:numId w:val="1"/>
      </w:numPr>
      <w:spacing w:beforeLines="50" w:line="336" w:lineRule="auto"/>
      <w:ind w:firstLine="0"/>
      <w:jc w:val="both"/>
    </w:pPr>
    <w:rPr>
      <w:rFonts w:eastAsia="黑体" w:asciiTheme="minorHAnsi" w:hAnsiTheme="minorHAnsi" w:cstheme="minorBidi"/>
      <w:kern w:val="2"/>
      <w:sz w:val="21"/>
      <w:szCs w:val="24"/>
      <w:lang w:val="en-GB" w:eastAsia="zh-CN" w:bidi="ar-SA"/>
    </w:rPr>
  </w:style>
  <w:style w:type="paragraph" w:styleId="5">
    <w:name w:val="Body Text First Indent 2"/>
    <w:next w:val="1"/>
    <w:qFormat/>
    <w:uiPriority w:val="99"/>
    <w:pPr>
      <w:widowControl w:val="0"/>
      <w:spacing w:line="360" w:lineRule="auto"/>
      <w:ind w:firstLine="964"/>
      <w:jc w:val="both"/>
    </w:pPr>
    <w:rPr>
      <w:rFonts w:ascii="Times New Roman" w:eastAsia="仿宋" w:hAnsiTheme="minorHAnsi" w:cstheme="minorBidi"/>
      <w:kern w:val="2"/>
      <w:sz w:val="28"/>
      <w:szCs w:val="28"/>
      <w:lang w:val="en-US" w:eastAsia="zh-CN" w:bidi="ar-SA"/>
    </w:rPr>
  </w:style>
  <w:style w:type="paragraph" w:styleId="8">
    <w:name w:val="Body Text Indent"/>
    <w:autoRedefine/>
    <w:qFormat/>
    <w:uiPriority w:val="99"/>
    <w:pPr>
      <w:widowControl w:val="0"/>
      <w:ind w:firstLine="600"/>
      <w:jc w:val="both"/>
    </w:pPr>
    <w:rPr>
      <w:rFonts w:ascii="仿宋_GB2312" w:eastAsia="仿宋_GB2312" w:hAnsiTheme="minorHAnsi" w:cstheme="minorBidi"/>
      <w:kern w:val="2"/>
      <w:sz w:val="30"/>
      <w:szCs w:val="30"/>
      <w:lang w:val="en-US" w:eastAsia="zh-CN" w:bidi="ar-SA"/>
    </w:rPr>
  </w:style>
  <w:style w:type="paragraph" w:customStyle="1" w:styleId="11">
    <w:name w:val="表头"/>
    <w:basedOn w:val="7"/>
    <w:next w:val="1"/>
    <w:autoRedefine/>
    <w:qFormat/>
    <w:uiPriority w:val="0"/>
    <w:pPr>
      <w:spacing w:line="560" w:lineRule="exact"/>
      <w:ind w:firstLine="0" w:firstLineChars="0"/>
      <w:jc w:val="center"/>
      <w:outlineLvl w:val="9"/>
    </w:pPr>
    <w:rPr>
      <w:rFonts w:ascii="Times New Roman" w:hAnsi="Times New Roman" w:eastAsia="仿宋"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b92c75f9-e605-4bb1-92ea-de7fe02641aa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74287F49</paraID>
      <start>177</start>
      <end>178</end>
      <status>ignored</status>
      <modifiedWord/>
      <trackRevisions>false</trackRevisions>
    </reviewItem>
    <reviewItem>
      <errorID>8d3f6bf8-bc29-4ce2-879b-3279756f9800</errorID>
      <errorWord>西布曲明</errorWord>
      <group>L1_Knowledge</group>
      <groupName>知识性问题</groupName>
      <ability>L2_Knowledge</ability>
      <abilityName>其他知识</abilityName>
      <candidateList/>
      <explain>已淘汰药品</explain>
      <paraID>3F21A70E</paraID>
      <start>103</start>
      <end>107</end>
      <status>ignored</status>
      <modifiedWord/>
      <trackRevisions>false</trackRevisions>
    </reviewItem>
    <reviewItem>
      <errorID>d0b65507-2971-4597-9129-6cb1ff9c8422</errorID>
      <errorWord>，</errorWord>
      <group>L1_Punc</group>
      <groupName>标点问题</groupName>
      <ability>L2_Punc</ability>
      <abilityName>标点符号检查</abilityName>
      <candidateList/>
      <explain/>
      <paraID>3C847385</paraID>
      <start>43</start>
      <end>44</end>
      <status>ignored</status>
      <modifiedWord/>
      <trackRevisions>false</trackRevisions>
    </reviewItem>
  </reviewItems>
  <config/>
</contractReview>
</file>

<file path=customXml/itemProps1.xml><?xml version="1.0" encoding="utf-8"?>
<ds:datastoreItem xmlns:ds="http://schemas.openxmlformats.org/officeDocument/2006/customXml" ds:itemID="{2343cc38-fb1a-4983-8cf2-f3a7cc40b131}">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9945</Words>
  <Characters>10817</Characters>
  <Lines>0</Lines>
  <Paragraphs>0</Paragraphs>
  <TotalTime>69</TotalTime>
  <ScaleCrop>false</ScaleCrop>
  <LinksUpToDate>false</LinksUpToDate>
  <CharactersWithSpaces>10826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2023-02-06T08:34:00Z</dcterms:created>
  <dc:creator>Administrator</dc:creator>
  <cp:lastModifiedBy>马帅</cp:lastModifiedBy>
  <dcterms:modified xsi:type="dcterms:W3CDTF">2026-01-14T06:47:53Z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5CB9AA52FC7841C385171880FE754349_13</vt:lpwstr>
  </property>
  <property fmtid="{D5CDD505-2E9C-101B-9397-08002B2CF9AE}" pid="4" name="KSOTemplateDocerSaveRecord">
    <vt:lpwstr>eyJoZGlkIjoiMmI1OTAwNTQ1NGNlMjJhODJiN2M1ZGJlN2ZmMjExMzIiLCJ1c2VySWQiOiIzOTE0NjYxMzAifQ==</vt:lpwstr>
  </property>
</Properties>
</file>